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FD17CE">
      <w:pPr>
        <w:pStyle w:val="12"/>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color w:val="auto"/>
          <w:sz w:val="44"/>
          <w:szCs w:val="44"/>
          <w:lang w:eastAsia="zh-CN"/>
        </w:rPr>
      </w:pPr>
    </w:p>
    <w:p w14:paraId="192B440E">
      <w:pPr>
        <w:pStyle w:val="12"/>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color w:val="auto"/>
          <w:sz w:val="44"/>
          <w:szCs w:val="44"/>
          <w:lang w:eastAsia="zh-CN"/>
        </w:rPr>
      </w:pPr>
      <w:r>
        <w:rPr>
          <w:rFonts w:hint="eastAsia" w:ascii="方正小标宋简体" w:hAnsi="方正小标宋简体" w:eastAsia="方正小标宋简体" w:cs="方正小标宋简体"/>
          <w:b w:val="0"/>
          <w:bCs/>
          <w:color w:val="auto"/>
          <w:sz w:val="44"/>
          <w:szCs w:val="44"/>
          <w:lang w:eastAsia="zh-CN"/>
        </w:rPr>
        <w:t>《许昌市农村</w:t>
      </w:r>
      <w:r>
        <w:rPr>
          <w:rFonts w:hint="eastAsia" w:ascii="方正小标宋简体" w:hAnsi="方正小标宋简体" w:eastAsia="方正小标宋简体" w:cs="方正小标宋简体"/>
          <w:b w:val="0"/>
          <w:bCs/>
          <w:color w:val="auto"/>
          <w:sz w:val="44"/>
          <w:szCs w:val="44"/>
        </w:rPr>
        <w:t>产权</w:t>
      </w:r>
      <w:r>
        <w:rPr>
          <w:rFonts w:hint="eastAsia" w:ascii="方正小标宋简体" w:hAnsi="方正小标宋简体" w:eastAsia="方正小标宋简体" w:cs="方正小标宋简体"/>
          <w:b w:val="0"/>
          <w:bCs/>
          <w:color w:val="auto"/>
          <w:sz w:val="44"/>
          <w:szCs w:val="44"/>
          <w:lang w:eastAsia="zh-CN"/>
        </w:rPr>
        <w:t>流转</w:t>
      </w:r>
      <w:r>
        <w:rPr>
          <w:rFonts w:hint="eastAsia" w:ascii="方正小标宋简体" w:hAnsi="方正小标宋简体" w:eastAsia="方正小标宋简体" w:cs="方正小标宋简体"/>
          <w:b w:val="0"/>
          <w:bCs/>
          <w:color w:val="auto"/>
          <w:sz w:val="44"/>
          <w:szCs w:val="44"/>
        </w:rPr>
        <w:t>交易</w:t>
      </w:r>
      <w:r>
        <w:rPr>
          <w:rFonts w:hint="eastAsia" w:ascii="方正小标宋简体" w:hAnsi="方正小标宋简体" w:eastAsia="方正小标宋简体" w:cs="方正小标宋简体"/>
          <w:b w:val="0"/>
          <w:bCs/>
          <w:color w:val="auto"/>
          <w:sz w:val="44"/>
          <w:szCs w:val="44"/>
          <w:lang w:eastAsia="zh-CN"/>
        </w:rPr>
        <w:t>规范化试点</w:t>
      </w:r>
    </w:p>
    <w:p w14:paraId="60F257B7">
      <w:pPr>
        <w:pStyle w:val="12"/>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i w:val="0"/>
          <w:caps w:val="0"/>
          <w:color w:val="auto"/>
          <w:spacing w:val="0"/>
          <w:sz w:val="44"/>
          <w:szCs w:val="44"/>
          <w:shd w:val="clear" w:color="auto" w:fill="FFFFFF"/>
        </w:rPr>
      </w:pPr>
      <w:r>
        <w:rPr>
          <w:rFonts w:hint="eastAsia" w:ascii="方正小标宋简体" w:hAnsi="方正小标宋简体" w:eastAsia="方正小标宋简体" w:cs="方正小标宋简体"/>
          <w:b w:val="0"/>
          <w:bCs/>
          <w:color w:val="auto"/>
          <w:sz w:val="44"/>
          <w:szCs w:val="44"/>
          <w:lang w:eastAsia="zh-CN"/>
        </w:rPr>
        <w:t>工作实施</w:t>
      </w:r>
      <w:r>
        <w:rPr>
          <w:rFonts w:hint="eastAsia" w:ascii="方正小标宋简体" w:hAnsi="方正小标宋简体" w:eastAsia="方正小标宋简体" w:cs="方正小标宋简体"/>
          <w:b w:val="0"/>
          <w:bCs/>
          <w:color w:val="auto"/>
          <w:sz w:val="44"/>
          <w:szCs w:val="44"/>
        </w:rPr>
        <w:t>方案</w:t>
      </w:r>
      <w:r>
        <w:rPr>
          <w:rFonts w:hint="eastAsia" w:ascii="方正小标宋简体" w:hAnsi="方正小标宋简体" w:eastAsia="方正小标宋简体" w:cs="方正小标宋简体"/>
          <w:b w:val="0"/>
          <w:bCs w:val="0"/>
          <w:i w:val="0"/>
          <w:caps w:val="0"/>
          <w:color w:val="auto"/>
          <w:spacing w:val="0"/>
          <w:sz w:val="44"/>
          <w:szCs w:val="44"/>
          <w:shd w:val="clear" w:color="auto" w:fill="FFFFFF"/>
          <w:lang w:eastAsia="zh-CN"/>
        </w:rPr>
        <w:t>（征求意见稿）》解读</w:t>
      </w:r>
    </w:p>
    <w:p w14:paraId="440C7B4C">
      <w:pPr>
        <w:pStyle w:val="1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小标宋简体" w:hAnsi="方正小标宋简体" w:eastAsia="方正小标宋简体" w:cs="方正小标宋简体"/>
          <w:b w:val="0"/>
          <w:bCs/>
          <w:color w:val="auto"/>
          <w:sz w:val="44"/>
          <w:szCs w:val="44"/>
          <w:lang w:eastAsia="zh-CN"/>
        </w:rPr>
      </w:pPr>
    </w:p>
    <w:p w14:paraId="76A906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Times New Roman"/>
          <w:i w:val="0"/>
          <w:caps w:val="0"/>
          <w:color w:val="auto"/>
          <w:spacing w:val="0"/>
          <w:sz w:val="32"/>
          <w:szCs w:val="32"/>
          <w:shd w:val="clear" w:color="auto" w:fill="FFFFFF"/>
        </w:rPr>
      </w:pPr>
      <w:r>
        <w:rPr>
          <w:rFonts w:hint="default" w:ascii="Times New Roman" w:hAnsi="Times New Roman" w:eastAsia="仿宋_GB2312" w:cs="Times New Roman"/>
          <w:i w:val="0"/>
          <w:caps w:val="0"/>
          <w:color w:val="auto"/>
          <w:spacing w:val="0"/>
          <w:sz w:val="32"/>
          <w:szCs w:val="32"/>
          <w:shd w:val="clear" w:color="auto" w:fill="FFFFFF"/>
        </w:rPr>
        <w:t>现就《许昌市农村产权流转交易规范化试点工作实施方案（征求意见稿）》（以下简称《</w:t>
      </w:r>
      <w:r>
        <w:rPr>
          <w:rFonts w:hint="eastAsia" w:eastAsia="仿宋_GB2312" w:cs="Times New Roman"/>
          <w:i w:val="0"/>
          <w:caps w:val="0"/>
          <w:color w:val="auto"/>
          <w:spacing w:val="0"/>
          <w:sz w:val="32"/>
          <w:szCs w:val="32"/>
          <w:shd w:val="clear" w:color="auto" w:fill="FFFFFF"/>
          <w:lang w:val="en-US" w:eastAsia="zh-CN"/>
        </w:rPr>
        <w:t>方案</w:t>
      </w:r>
      <w:r>
        <w:rPr>
          <w:rFonts w:hint="default" w:ascii="Times New Roman" w:hAnsi="Times New Roman" w:eastAsia="仿宋_GB2312" w:cs="Times New Roman"/>
          <w:i w:val="0"/>
          <w:caps w:val="0"/>
          <w:color w:val="auto"/>
          <w:spacing w:val="0"/>
          <w:sz w:val="32"/>
          <w:szCs w:val="32"/>
          <w:shd w:val="clear" w:color="auto" w:fill="FFFFFF"/>
        </w:rPr>
        <w:t>》）的有关政策解读如下：</w:t>
      </w:r>
    </w:p>
    <w:p w14:paraId="35AC9754">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黑体" w:cs="Times New Roman"/>
          <w:color w:val="auto"/>
          <w:sz w:val="32"/>
          <w:szCs w:val="32"/>
          <w:lang w:eastAsia="zh-CN"/>
        </w:rPr>
      </w:pPr>
      <w:r>
        <w:rPr>
          <w:rFonts w:hint="eastAsia" w:ascii="Times New Roman" w:hAnsi="Times New Roman" w:eastAsia="黑体" w:cs="Times New Roman"/>
          <w:color w:val="auto"/>
          <w:kern w:val="0"/>
          <w:sz w:val="32"/>
          <w:szCs w:val="32"/>
          <w:lang w:val="en-US" w:eastAsia="zh-CN" w:bidi="ar"/>
        </w:rPr>
        <w:t>一、</w:t>
      </w:r>
      <w:r>
        <w:rPr>
          <w:rFonts w:hint="eastAsia" w:ascii="Times New Roman" w:hAnsi="Times New Roman" w:eastAsia="黑体" w:cs="Times New Roman"/>
          <w:color w:val="auto"/>
          <w:sz w:val="32"/>
          <w:szCs w:val="32"/>
          <w:lang w:eastAsia="zh-CN"/>
        </w:rPr>
        <w:t>政策背景</w:t>
      </w:r>
    </w:p>
    <w:p w14:paraId="60D5609B">
      <w:pPr>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left="0" w:leftChars="0" w:right="0" w:rightChars="0" w:firstLine="640" w:firstLineChars="200"/>
        <w:jc w:val="both"/>
        <w:textAlignment w:val="auto"/>
        <w:outlineLvl w:val="9"/>
        <w:rPr>
          <w:rFonts w:hint="eastAsia" w:eastAsia="仿宋_GB2312" w:cs="Times New Roman"/>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sz w:val="32"/>
          <w:szCs w:val="32"/>
          <w:lang w:val="en-US" w:eastAsia="zh-CN"/>
        </w:rPr>
        <w:t>2023年5月，农业农村部等11部委印发《农村产权流转交易规范化试点工作方案》的通知。许昌市、长葛市按照通知要求起草《</w:t>
      </w:r>
      <w:r>
        <w:rPr>
          <w:rFonts w:hint="eastAsia" w:ascii="仿宋_GB2312" w:hAnsi="仿宋_GB2312" w:eastAsia="仿宋_GB2312" w:cs="仿宋_GB2312"/>
          <w:sz w:val="32"/>
          <w:szCs w:val="32"/>
          <w:lang w:val="en" w:eastAsia="zh-CN"/>
        </w:rPr>
        <w:t>许昌市农村产权流转交易规范化试点</w:t>
      </w:r>
      <w:r>
        <w:rPr>
          <w:rFonts w:hint="eastAsia" w:ascii="仿宋_GB2312" w:hAnsi="仿宋_GB2312" w:eastAsia="仿宋_GB2312" w:cs="仿宋_GB2312"/>
          <w:sz w:val="32"/>
          <w:szCs w:val="32"/>
          <w:lang w:val="en-US" w:eastAsia="zh-CN"/>
        </w:rPr>
        <w:t>实施方案》申报全国农村产权流转交易规范化试点，2023年11月14日，农业农村部印发《关于农村产权流转交易规范化试点的批复》，许昌市和长葛市成功获批试点。</w:t>
      </w:r>
    </w:p>
    <w:p w14:paraId="63FF4B11">
      <w:pPr>
        <w:pStyle w:val="9"/>
        <w:rPr>
          <w:rFonts w:hint="default"/>
          <w:lang w:val="en-US" w:eastAsia="zh-CN"/>
        </w:rPr>
      </w:pPr>
      <w:r>
        <w:rPr>
          <w:rFonts w:hint="eastAsia" w:ascii="Times New Roman" w:hAnsi="Times New Roman" w:eastAsia="仿宋_GB2312" w:cs="Times New Roman"/>
          <w:i w:val="0"/>
          <w:caps w:val="0"/>
          <w:color w:val="auto"/>
          <w:spacing w:val="0"/>
          <w:kern w:val="0"/>
          <w:sz w:val="32"/>
          <w:szCs w:val="32"/>
          <w:shd w:val="clear" w:color="auto" w:fill="FFFFFF"/>
          <w:lang w:val="en-US" w:eastAsia="zh-CN" w:bidi="ar"/>
        </w:rPr>
        <w:t>《许昌市农村产权流转交易规范化试点工作实施方案》有利于</w:t>
      </w:r>
      <w:r>
        <w:rPr>
          <w:rFonts w:hint="eastAsia" w:ascii="仿宋_GB2312" w:hAnsi="仿宋_GB2312" w:eastAsia="仿宋_GB2312" w:cs="仿宋_GB2312"/>
          <w:b w:val="0"/>
          <w:bCs/>
          <w:color w:val="auto"/>
          <w:sz w:val="32"/>
          <w:szCs w:val="32"/>
          <w:highlight w:val="none"/>
          <w:lang w:val="en-US" w:eastAsia="zh-CN"/>
        </w:rPr>
        <w:t>提升基层治理水平，促进农村社会稳定，</w:t>
      </w:r>
      <w:r>
        <w:rPr>
          <w:rFonts w:hint="eastAsia" w:ascii="仿宋_GB2312" w:hAnsi="仿宋_GB2312" w:eastAsia="仿宋_GB2312" w:cs="仿宋_GB2312"/>
          <w:sz w:val="32"/>
          <w:szCs w:val="32"/>
          <w:lang w:val="en" w:eastAsia="zh-CN"/>
        </w:rPr>
        <w:t>维护农村社会稳定，减少“小微腐败”，盘活农村资产，</w:t>
      </w:r>
      <w:r>
        <w:rPr>
          <w:rFonts w:hint="eastAsia" w:ascii="仿宋_GB2312" w:hAnsi="仿宋_GB2312" w:eastAsia="仿宋_GB2312" w:cs="仿宋_GB2312"/>
          <w:b w:val="0"/>
          <w:bCs/>
          <w:color w:val="auto"/>
          <w:sz w:val="32"/>
          <w:szCs w:val="32"/>
          <w:highlight w:val="none"/>
          <w:lang w:val="en-US" w:eastAsia="zh-CN"/>
        </w:rPr>
        <w:t>构建适应畅通城乡要素流动要求的现代农村产权流转交易市场体系。</w:t>
      </w:r>
      <w:bookmarkStart w:id="0" w:name="_GoBack"/>
      <w:bookmarkEnd w:id="0"/>
    </w:p>
    <w:p w14:paraId="47865E67">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kern w:val="0"/>
          <w:sz w:val="32"/>
          <w:szCs w:val="32"/>
          <w:lang w:val="en-US" w:eastAsia="zh-CN" w:bidi="ar"/>
        </w:rPr>
        <w:t>二、</w:t>
      </w:r>
      <w:r>
        <w:rPr>
          <w:rFonts w:hint="eastAsia" w:eastAsia="黑体" w:cs="Times New Roman"/>
          <w:color w:val="auto"/>
          <w:sz w:val="32"/>
          <w:szCs w:val="32"/>
          <w:lang w:val="en-US" w:eastAsia="zh-CN"/>
        </w:rPr>
        <w:t>方案</w:t>
      </w:r>
      <w:r>
        <w:rPr>
          <w:rFonts w:hint="eastAsia" w:ascii="Times New Roman" w:hAnsi="Times New Roman" w:eastAsia="黑体" w:cs="Times New Roman"/>
          <w:color w:val="auto"/>
          <w:sz w:val="32"/>
          <w:szCs w:val="32"/>
          <w:lang w:val="en-US" w:eastAsia="zh-CN"/>
        </w:rPr>
        <w:t>依据</w:t>
      </w:r>
    </w:p>
    <w:p w14:paraId="1F677011">
      <w:pPr>
        <w:pStyle w:val="13"/>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80" w:lineRule="exact"/>
        <w:ind w:leftChars="0" w:firstLine="640" w:firstLineChars="200"/>
        <w:textAlignment w:val="auto"/>
        <w:rPr>
          <w:rFonts w:hint="eastAsia"/>
          <w:b w:val="0"/>
          <w:bCs/>
          <w:color w:val="auto"/>
          <w:sz w:val="32"/>
          <w:szCs w:val="32"/>
          <w:lang w:eastAsia="zh-CN"/>
        </w:rPr>
      </w:pPr>
      <w:r>
        <w:rPr>
          <w:rFonts w:hint="eastAsia" w:ascii="仿宋_GB2312" w:hAnsi="仿宋_GB2312" w:eastAsia="仿宋_GB2312" w:cs="仿宋_GB2312"/>
          <w:b w:val="0"/>
          <w:bCs/>
          <w:color w:val="auto"/>
          <w:sz w:val="32"/>
          <w:szCs w:val="32"/>
          <w:highlight w:val="none"/>
          <w:u w:val="none"/>
          <w:lang w:eastAsia="zh-CN"/>
        </w:rPr>
        <w:t>根据《中共中央关于全面深化改革若干重大问题的决定》(中发〔2013〕12号)、《国务院办公厅关于引导农村产权交易市场健康发展的意见》(国办发〔2014〕71号)、《河南省人民政府办公厅关于引导农村产权交易市场健康发展的实施意见》(豫政办〔2017〕151号)、农业农村部等</w:t>
      </w:r>
      <w:r>
        <w:rPr>
          <w:rFonts w:hint="eastAsia" w:ascii="仿宋_GB2312" w:hAnsi="仿宋_GB2312" w:eastAsia="仿宋_GB2312" w:cs="仿宋_GB2312"/>
          <w:b w:val="0"/>
          <w:bCs/>
          <w:color w:val="auto"/>
          <w:sz w:val="32"/>
          <w:szCs w:val="32"/>
          <w:highlight w:val="none"/>
          <w:u w:val="none"/>
          <w:lang w:val="en-US" w:eastAsia="zh-CN"/>
        </w:rPr>
        <w:t>11部委《关于印发&lt;农村产权流转交易规范化试点方案&gt;的通知》（农政改发〔2023〕1号）、农业农村部《关于农村产权流转交易规范化试点的批复》（农政改发〔2023〕4号）、全国农村集体产权制度改革部际联席会议办公室批复《河南省许昌市农村产权流转交易规范化试点实施方案》等有关文件精神，结合我市实际，</w:t>
      </w:r>
      <w:r>
        <w:rPr>
          <w:rFonts w:hint="eastAsia" w:ascii="仿宋_GB2312" w:hAnsi="仿宋_GB2312" w:eastAsia="仿宋_GB2312" w:cs="仿宋_GB2312"/>
          <w:b w:val="0"/>
          <w:bCs/>
          <w:color w:val="auto"/>
          <w:sz w:val="32"/>
          <w:szCs w:val="32"/>
          <w:highlight w:val="none"/>
          <w:u w:val="none"/>
          <w:lang w:eastAsia="zh-CN"/>
        </w:rPr>
        <w:t>制定实施方案。</w:t>
      </w:r>
    </w:p>
    <w:p w14:paraId="3DBED82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eastAsia="zh-CN"/>
        </w:rPr>
        <w:t>三</w:t>
      </w:r>
      <w:r>
        <w:rPr>
          <w:rFonts w:hint="default" w:ascii="Times New Roman" w:hAnsi="Times New Roman" w:eastAsia="黑体" w:cs="Times New Roman"/>
          <w:color w:val="auto"/>
          <w:sz w:val="32"/>
          <w:szCs w:val="32"/>
        </w:rPr>
        <w:t>、</w:t>
      </w:r>
      <w:r>
        <w:rPr>
          <w:rFonts w:hint="eastAsia" w:eastAsia="黑体" w:cs="Times New Roman"/>
          <w:color w:val="auto"/>
          <w:sz w:val="32"/>
          <w:szCs w:val="32"/>
          <w:lang w:val="en-US" w:eastAsia="zh-CN"/>
        </w:rPr>
        <w:t>方案</w:t>
      </w:r>
      <w:r>
        <w:rPr>
          <w:rFonts w:hint="default" w:ascii="Times New Roman" w:hAnsi="Times New Roman" w:eastAsia="黑体" w:cs="Times New Roman"/>
          <w:color w:val="auto"/>
          <w:sz w:val="32"/>
          <w:szCs w:val="32"/>
        </w:rPr>
        <w:t>内容</w:t>
      </w:r>
    </w:p>
    <w:p w14:paraId="2C88F8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共四大部门：总体要求、重点任务、实施步骤、保障措施。</w:t>
      </w:r>
    </w:p>
    <w:p w14:paraId="4EB46442">
      <w:pPr>
        <w:pStyle w:val="9"/>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第一部分是总体要求。</w:t>
      </w:r>
      <w:r>
        <w:rPr>
          <w:rFonts w:hint="eastAsia" w:ascii="仿宋_GB2312" w:hAnsi="仿宋_GB2312" w:eastAsia="仿宋_GB2312" w:cs="仿宋_GB2312"/>
          <w:kern w:val="2"/>
          <w:sz w:val="32"/>
          <w:szCs w:val="32"/>
          <w:lang w:val="en-US" w:eastAsia="zh-CN" w:bidi="ar-SA"/>
        </w:rPr>
        <w:t>主要分为指导思想、总体目标、具体目标三部分。</w:t>
      </w:r>
    </w:p>
    <w:p w14:paraId="38107A63">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210" w:rightChars="0" w:firstLine="643" w:firstLineChars="200"/>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第二部分是重点任务。</w:t>
      </w:r>
      <w:r>
        <w:rPr>
          <w:rFonts w:hint="eastAsia" w:ascii="仿宋_GB2312" w:hAnsi="仿宋_GB2312" w:eastAsia="仿宋_GB2312" w:cs="仿宋_GB2312"/>
          <w:b w:val="0"/>
          <w:kern w:val="2"/>
          <w:sz w:val="32"/>
          <w:szCs w:val="32"/>
          <w:lang w:val="en-US" w:eastAsia="zh-CN" w:bidi="ar-SA"/>
        </w:rPr>
        <w:t>主要</w:t>
      </w:r>
      <w:r>
        <w:rPr>
          <w:rFonts w:hint="eastAsia" w:eastAsia="仿宋_GB2312" w:cs="仿宋_GB2312"/>
          <w:b w:val="0"/>
          <w:kern w:val="2"/>
          <w:sz w:val="32"/>
          <w:szCs w:val="32"/>
          <w:lang w:val="en-US" w:eastAsia="zh-CN" w:bidi="ar-SA"/>
        </w:rPr>
        <w:t>分为</w:t>
      </w:r>
      <w:r>
        <w:rPr>
          <w:rFonts w:hint="eastAsia" w:ascii="仿宋_GB2312" w:hAnsi="仿宋_GB2312" w:eastAsia="仿宋_GB2312" w:cs="仿宋_GB2312"/>
          <w:b w:val="0"/>
          <w:kern w:val="2"/>
          <w:sz w:val="32"/>
          <w:szCs w:val="32"/>
          <w:lang w:val="en-US" w:eastAsia="zh-CN" w:bidi="ar-SA"/>
        </w:rPr>
        <w:t>规范农村“三资”管理基础、强化产权交易监督管理、建设农村产权流转交易市场、完善交易规则和流程、加强风险防控</w:t>
      </w:r>
      <w:r>
        <w:rPr>
          <w:rFonts w:hint="eastAsia" w:eastAsia="仿宋_GB2312" w:cs="仿宋_GB2312"/>
          <w:b w:val="0"/>
          <w:kern w:val="2"/>
          <w:sz w:val="32"/>
          <w:szCs w:val="32"/>
          <w:lang w:val="en-US" w:eastAsia="zh-CN" w:bidi="ar-SA"/>
        </w:rPr>
        <w:t>五部分</w:t>
      </w:r>
      <w:r>
        <w:rPr>
          <w:rFonts w:hint="eastAsia" w:ascii="仿宋_GB2312" w:hAnsi="仿宋_GB2312" w:eastAsia="仿宋_GB2312" w:cs="仿宋_GB2312"/>
          <w:b w:val="0"/>
          <w:kern w:val="2"/>
          <w:sz w:val="32"/>
          <w:szCs w:val="32"/>
          <w:lang w:val="en-US" w:eastAsia="zh-CN" w:bidi="ar-SA"/>
        </w:rPr>
        <w:t>，</w:t>
      </w:r>
      <w:r>
        <w:rPr>
          <w:rFonts w:hint="eastAsia" w:eastAsia="仿宋_GB2312" w:cs="仿宋_GB2312"/>
          <w:b w:val="0"/>
          <w:kern w:val="2"/>
          <w:sz w:val="32"/>
          <w:szCs w:val="32"/>
          <w:lang w:val="en-US" w:eastAsia="zh-CN" w:bidi="ar-SA"/>
        </w:rPr>
        <w:t>明确了任务和责任部门</w:t>
      </w:r>
      <w:r>
        <w:rPr>
          <w:rFonts w:hint="eastAsia" w:ascii="仿宋_GB2312" w:hAnsi="仿宋_GB2312" w:eastAsia="仿宋_GB2312" w:cs="仿宋_GB2312"/>
          <w:b w:val="0"/>
          <w:kern w:val="2"/>
          <w:sz w:val="32"/>
          <w:szCs w:val="32"/>
          <w:lang w:val="en-US" w:eastAsia="zh-CN" w:bidi="ar-SA"/>
        </w:rPr>
        <w:t>。</w:t>
      </w:r>
    </w:p>
    <w:p w14:paraId="3283DC25">
      <w:pPr>
        <w:pStyle w:val="9"/>
        <w:rPr>
          <w:rFonts w:hint="default"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第三部分是实施步骤。</w:t>
      </w:r>
      <w:r>
        <w:rPr>
          <w:rFonts w:hint="eastAsia" w:ascii="仿宋_GB2312" w:hAnsi="仿宋_GB2312" w:eastAsia="仿宋_GB2312" w:cs="仿宋_GB2312"/>
          <w:b w:val="0"/>
          <w:kern w:val="2"/>
          <w:sz w:val="32"/>
          <w:szCs w:val="32"/>
          <w:lang w:val="en-US" w:eastAsia="zh-CN" w:bidi="ar-SA"/>
        </w:rPr>
        <w:t>实施步骤分四个阶段，一是规范“三资”管理阶段，二是交易平台建设阶段，三是建设完善阶段，四是总结推广阶段，分别制定了完成时间和具体任务。</w:t>
      </w:r>
    </w:p>
    <w:p w14:paraId="372E8C5C">
      <w:pPr>
        <w:pStyle w:val="9"/>
        <w:rPr>
          <w:rFonts w:hint="default"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第四部分是保障措施。</w:t>
      </w:r>
      <w:r>
        <w:rPr>
          <w:rFonts w:hint="eastAsia" w:ascii="仿宋_GB2312" w:hAnsi="仿宋_GB2312" w:eastAsia="仿宋_GB2312" w:cs="仿宋_GB2312"/>
          <w:b w:val="0"/>
          <w:bCs w:val="0"/>
          <w:kern w:val="2"/>
          <w:sz w:val="32"/>
          <w:szCs w:val="32"/>
          <w:lang w:val="en-US" w:eastAsia="zh-CN" w:bidi="ar-SA"/>
        </w:rPr>
        <w:t>共分为</w:t>
      </w:r>
      <w:r>
        <w:rPr>
          <w:rFonts w:hint="eastAsia" w:ascii="仿宋_GB2312" w:hAnsi="仿宋_GB2312" w:eastAsia="仿宋_GB2312" w:cs="仿宋_GB2312"/>
          <w:b w:val="0"/>
          <w:kern w:val="2"/>
          <w:sz w:val="32"/>
          <w:szCs w:val="32"/>
          <w:lang w:val="en-US" w:eastAsia="zh-CN" w:bidi="ar-SA"/>
        </w:rPr>
        <w:t>加强组织领导、强化监督管理、完善支持政策、严格实施奖惩、强化宣传培训五部分，为《方案》实施推进提供有利的保障。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decorative"/>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chineseCountingThousand"/>
      <w:pStyle w:val="14"/>
      <w:lvlText w:val="(%1)"/>
      <w:lvlJc w:val="left"/>
      <w:pPr>
        <w:ind w:left="1037" w:hanging="420"/>
      </w:pPr>
      <w:rPr>
        <w:rFonts w:hint="eastAsia"/>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
    <w:nsid w:val="00000006"/>
    <w:multiLevelType w:val="multilevel"/>
    <w:tmpl w:val="00000006"/>
    <w:lvl w:ilvl="0" w:tentative="0">
      <w:start w:val="1"/>
      <w:numFmt w:val="chineseCountingThousand"/>
      <w:pStyle w:val="1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yYTAwNDQ2N2Q4NGM3MmZlZDZjZGJmMmUwMjhjZjkifQ=="/>
  </w:docVars>
  <w:rsids>
    <w:rsidRoot w:val="6DF858B7"/>
    <w:rsid w:val="383D30E6"/>
    <w:rsid w:val="6DF858B7"/>
    <w:rsid w:val="7F967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9"/>
    <w:basedOn w:val="1"/>
    <w:next w:val="1"/>
    <w:qFormat/>
    <w:uiPriority w:val="0"/>
    <w:pPr>
      <w:keepNext/>
      <w:keepLines/>
      <w:spacing w:before="240" w:beforeLines="0" w:after="64" w:afterLines="0" w:line="320" w:lineRule="auto"/>
      <w:outlineLvl w:val="8"/>
    </w:pPr>
    <w:rPr>
      <w:rFonts w:ascii="等线 Light" w:hAnsi="等线 Light" w:eastAsia="等线 Light" w:cs="黑体"/>
      <w:kern w:val="2"/>
      <w:sz w:val="21"/>
      <w:szCs w:val="21"/>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rFonts w:eastAsia="楷体_GB2312"/>
      <w:sz w:val="28"/>
      <w:szCs w:val="20"/>
    </w:rPr>
  </w:style>
  <w:style w:type="paragraph" w:styleId="4">
    <w:name w:val="Body Text First Indent"/>
    <w:basedOn w:val="3"/>
    <w:next w:val="5"/>
    <w:qFormat/>
    <w:uiPriority w:val="0"/>
    <w:pPr>
      <w:ind w:firstLine="420" w:firstLineChars="100"/>
    </w:pPr>
  </w:style>
  <w:style w:type="paragraph" w:styleId="5">
    <w:name w:val="Plain Text"/>
    <w:unhideWhenUsed/>
    <w:qFormat/>
    <w:uiPriority w:val="99"/>
    <w:pPr>
      <w:widowControl w:val="0"/>
      <w:jc w:val="both"/>
    </w:pPr>
    <w:rPr>
      <w:rFonts w:ascii="宋体" w:hAnsi="Courier New" w:eastAsia="宋体" w:cs="Times New Roman"/>
      <w:kern w:val="2"/>
      <w:sz w:val="21"/>
      <w:szCs w:val="24"/>
      <w:lang w:val="en-US" w:eastAsia="zh-CN" w:bidi="ar-SA"/>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9">
    <w:name w:val="Body Text First Indent 2"/>
    <w:basedOn w:val="10"/>
    <w:qFormat/>
    <w:uiPriority w:val="0"/>
    <w:pPr>
      <w:ind w:firstLine="420"/>
    </w:pPr>
    <w:rPr>
      <w:rFonts w:ascii="Calibri" w:hAnsi="Calibri"/>
    </w:rPr>
  </w:style>
  <w:style w:type="paragraph" w:customStyle="1" w:styleId="10">
    <w:name w:val="Body Text Indent"/>
    <w:basedOn w:val="1"/>
    <w:next w:val="11"/>
    <w:qFormat/>
    <w:uiPriority w:val="0"/>
    <w:pPr>
      <w:ind w:firstLine="640" w:firstLineChars="200"/>
    </w:pPr>
    <w:rPr>
      <w:kern w:val="0"/>
    </w:rPr>
  </w:style>
  <w:style w:type="paragraph" w:customStyle="1" w:styleId="11">
    <w:name w:val="Normal Indent"/>
    <w:basedOn w:val="1"/>
    <w:qFormat/>
    <w:uiPriority w:val="0"/>
    <w:pPr>
      <w:ind w:firstLine="420" w:firstLineChars="200"/>
    </w:pPr>
  </w:style>
  <w:style w:type="paragraph" w:customStyle="1" w:styleId="12">
    <w:name w:val="大标题1"/>
    <w:basedOn w:val="1"/>
    <w:qFormat/>
    <w:uiPriority w:val="0"/>
    <w:pPr>
      <w:spacing w:line="580" w:lineRule="exact"/>
      <w:jc w:val="center"/>
    </w:pPr>
    <w:rPr>
      <w:rFonts w:ascii="Times New Roman" w:hAnsi="Times New Roman" w:eastAsia="华文中宋" w:cs="Times New Roman"/>
      <w:b/>
      <w:kern w:val="2"/>
      <w:sz w:val="44"/>
      <w:szCs w:val="44"/>
    </w:rPr>
  </w:style>
  <w:style w:type="paragraph" w:customStyle="1" w:styleId="13">
    <w:name w:val="我的标题1"/>
    <w:basedOn w:val="2"/>
    <w:qFormat/>
    <w:uiPriority w:val="0"/>
    <w:pPr>
      <w:keepNext w:val="0"/>
      <w:keepLines w:val="0"/>
      <w:numPr>
        <w:ilvl w:val="0"/>
        <w:numId w:val="1"/>
      </w:numPr>
      <w:spacing w:before="0" w:beforeLines="0" w:after="0" w:afterLines="0" w:line="580" w:lineRule="exact"/>
      <w:jc w:val="left"/>
      <w:outlineLvl w:val="0"/>
    </w:pPr>
    <w:rPr>
      <w:rFonts w:ascii="仿宋" w:hAnsi="仿宋" w:eastAsia="黑体" w:cs="仿宋"/>
      <w:b/>
      <w:bCs/>
      <w:kern w:val="2"/>
      <w:sz w:val="36"/>
      <w:szCs w:val="24"/>
    </w:rPr>
  </w:style>
  <w:style w:type="paragraph" w:customStyle="1" w:styleId="14">
    <w:name w:val="我的标题2"/>
    <w:basedOn w:val="15"/>
    <w:qFormat/>
    <w:uiPriority w:val="0"/>
    <w:pPr>
      <w:numPr>
        <w:ilvl w:val="0"/>
        <w:numId w:val="2"/>
      </w:numPr>
      <w:spacing w:line="580" w:lineRule="exact"/>
      <w:ind w:left="0" w:firstLine="200"/>
      <w:jc w:val="left"/>
      <w:outlineLvl w:val="1"/>
    </w:pPr>
    <w:rPr>
      <w:rFonts w:ascii="仿宋_GB2312" w:hAnsi="仿宋_GB2312" w:eastAsia="楷体" w:cs="仿宋_GB2312"/>
      <w:b/>
      <w:kern w:val="2"/>
      <w:sz w:val="36"/>
      <w:szCs w:val="28"/>
    </w:rPr>
  </w:style>
  <w:style w:type="paragraph" w:customStyle="1" w:styleId="15">
    <w:name w:val="List Paragraph"/>
    <w:basedOn w:val="1"/>
    <w:qFormat/>
    <w:uiPriority w:val="0"/>
    <w:pPr>
      <w:ind w:firstLine="420" w:firstLineChars="200"/>
    </w:pPr>
    <w:rPr>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934</Words>
  <Characters>963</Characters>
  <Lines>0</Lines>
  <Paragraphs>0</Paragraphs>
  <TotalTime>37</TotalTime>
  <ScaleCrop>false</ScaleCrop>
  <LinksUpToDate>false</LinksUpToDate>
  <CharactersWithSpaces>963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2024-07-29T07:16:00Z</dcterms:created>
  <dc:creator>我叫大东</dc:creator>
  <cp:lastModifiedBy>我叫大东</cp:lastModifiedBy>
  <dcterms:modified xsi:type="dcterms:W3CDTF">2024-08-05T03:16:46Z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3953FE86C660475DB674E8CFFFB4A1DB_11</vt:lpwstr>
  </property>
</Properties>
</file>