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 w:eastAsia="zh-CN"/>
        </w:rPr>
        <w:t>附件</w:t>
      </w:r>
      <w:r>
        <w:rPr>
          <w:rFonts w:hint="eastAsia" w:ascii="黑体" w:hAnsi="黑体" w:eastAsia="黑体" w:cs="黑体"/>
          <w:b w:val="0"/>
          <w:bCs w:val="0"/>
          <w:color w:val="auto"/>
          <w:sz w:val="32"/>
          <w:szCs w:val="32"/>
          <w:highlight w:val="none"/>
          <w:lang w:val="en-US" w:eastAsia="zh-CN"/>
        </w:rPr>
        <w:t>1</w:t>
      </w:r>
    </w:p>
    <w:p>
      <w:pPr>
        <w:pStyle w:val="5"/>
        <w:rPr>
          <w:rFonts w:hint="eastAsia" w:ascii="黑体" w:hAnsi="黑体" w:eastAsia="黑体" w:cs="黑体"/>
          <w:b w:val="0"/>
          <w:bCs w:val="0"/>
          <w:color w:val="auto"/>
          <w:sz w:val="32"/>
          <w:szCs w:val="32"/>
          <w:highlight w:val="none"/>
          <w:lang w:val="en-US" w:eastAsia="zh-CN"/>
        </w:rPr>
      </w:pPr>
    </w:p>
    <w:p>
      <w:pPr>
        <w:keepNext w:val="0"/>
        <w:keepLines w:val="0"/>
        <w:pageBreakBefore w:val="0"/>
        <w:widowControl w:val="0"/>
        <w:kinsoku/>
        <w:wordWrap/>
        <w:overflowPunct w:val="0"/>
        <w:topLinePunct w:val="0"/>
        <w:autoSpaceDE/>
        <w:autoSpaceDN/>
        <w:bidi w:val="0"/>
        <w:adjustRightInd/>
        <w:snapToGrid/>
        <w:spacing w:line="600" w:lineRule="exact"/>
        <w:ind w:left="0" w:leftChars="0"/>
        <w:jc w:val="center"/>
        <w:textAlignment w:val="auto"/>
        <w:rPr>
          <w:rFonts w:hint="eastAsia" w:ascii="Times New Roman" w:hAnsi="Times New Roman" w:eastAsia="方正小标宋简体" w:cs="Times New Roman"/>
          <w:color w:val="auto"/>
          <w:spacing w:val="-11"/>
          <w:sz w:val="44"/>
          <w:szCs w:val="44"/>
          <w:lang w:val="en-US" w:eastAsia="zh-CN"/>
        </w:rPr>
      </w:pPr>
      <w:bookmarkStart w:id="0" w:name="_GoBack"/>
      <w:r>
        <w:rPr>
          <w:rFonts w:hint="default" w:ascii="Times New Roman" w:hAnsi="Times New Roman" w:eastAsia="方正小标宋简体" w:cs="Times New Roman"/>
          <w:color w:val="auto"/>
          <w:spacing w:val="-11"/>
          <w:sz w:val="44"/>
          <w:szCs w:val="44"/>
          <w:lang w:eastAsia="zh-CN"/>
        </w:rPr>
        <w:t>关于</w:t>
      </w:r>
      <w:r>
        <w:rPr>
          <w:rFonts w:hint="eastAsia" w:ascii="Times New Roman" w:hAnsi="Times New Roman" w:eastAsia="方正小标宋简体" w:cs="Times New Roman"/>
          <w:color w:val="auto"/>
          <w:spacing w:val="-11"/>
          <w:sz w:val="44"/>
          <w:szCs w:val="44"/>
          <w:lang w:eastAsia="zh-CN"/>
        </w:rPr>
        <w:t>调整</w:t>
      </w:r>
      <w:r>
        <w:rPr>
          <w:rFonts w:hint="default" w:ascii="Times New Roman" w:hAnsi="Times New Roman" w:eastAsia="方正小标宋简体" w:cs="Times New Roman"/>
          <w:color w:val="auto"/>
          <w:spacing w:val="-11"/>
          <w:sz w:val="44"/>
          <w:szCs w:val="44"/>
          <w:lang w:eastAsia="zh-CN"/>
        </w:rPr>
        <w:t>高排放非道路移动机械禁用区</w:t>
      </w:r>
      <w:r>
        <w:rPr>
          <w:rFonts w:hint="eastAsia" w:ascii="Times New Roman" w:hAnsi="Times New Roman" w:eastAsia="方正小标宋简体" w:cs="Times New Roman"/>
          <w:color w:val="auto"/>
          <w:spacing w:val="-11"/>
          <w:sz w:val="44"/>
          <w:szCs w:val="44"/>
          <w:lang w:eastAsia="zh-CN"/>
        </w:rPr>
        <w:t>的</w:t>
      </w:r>
      <w:r>
        <w:rPr>
          <w:rFonts w:hint="default" w:ascii="Times New Roman" w:hAnsi="Times New Roman" w:eastAsia="方正小标宋简体" w:cs="Times New Roman"/>
          <w:color w:val="auto"/>
          <w:spacing w:val="0"/>
          <w:sz w:val="44"/>
          <w:szCs w:val="44"/>
          <w:lang w:eastAsia="zh-CN"/>
        </w:rPr>
        <w:t>通</w:t>
      </w:r>
      <w:r>
        <w:rPr>
          <w:rFonts w:hint="default" w:ascii="Times New Roman" w:hAnsi="Times New Roman" w:eastAsia="方正小标宋简体" w:cs="Times New Roman"/>
          <w:color w:val="auto"/>
          <w:spacing w:val="0"/>
          <w:sz w:val="44"/>
          <w:szCs w:val="44"/>
          <w:lang w:val="en-US" w:eastAsia="zh-CN"/>
        </w:rPr>
        <w:t>告</w:t>
      </w:r>
      <w:r>
        <w:rPr>
          <w:rFonts w:hint="eastAsia" w:ascii="Times New Roman" w:hAnsi="Times New Roman" w:eastAsia="方正小标宋简体" w:cs="Times New Roman"/>
          <w:color w:val="auto"/>
          <w:spacing w:val="-11"/>
          <w:sz w:val="44"/>
          <w:szCs w:val="44"/>
          <w:lang w:val="en-US" w:eastAsia="zh-CN"/>
        </w:rPr>
        <w:t>（2026年修订）</w:t>
      </w:r>
      <w:bookmarkEnd w:id="0"/>
    </w:p>
    <w:p>
      <w:pPr>
        <w:keepNext w:val="0"/>
        <w:keepLines w:val="0"/>
        <w:pageBreakBefore w:val="0"/>
        <w:widowControl w:val="0"/>
        <w:kinsoku/>
        <w:wordWrap/>
        <w:overflowPunct w:val="0"/>
        <w:topLinePunct w:val="0"/>
        <w:autoSpaceDE/>
        <w:autoSpaceDN/>
        <w:bidi w:val="0"/>
        <w:adjustRightInd/>
        <w:snapToGrid/>
        <w:spacing w:line="600" w:lineRule="exact"/>
        <w:ind w:left="0" w:leftChars="0"/>
        <w:jc w:val="center"/>
        <w:textAlignment w:val="auto"/>
        <w:rPr>
          <w:rFonts w:hint="default" w:ascii="Times New Roman" w:hAnsi="Times New Roman" w:cs="Times New Roman"/>
          <w:lang w:val="en" w:eastAsia="zh-CN"/>
        </w:rPr>
      </w:pPr>
      <w:r>
        <w:rPr>
          <w:rFonts w:hint="eastAsia" w:ascii="Times New Roman" w:hAnsi="Times New Roman" w:eastAsia="仿宋_GB2312" w:cs="Times New Roman"/>
          <w:color w:val="auto"/>
          <w:sz w:val="32"/>
          <w:szCs w:val="40"/>
          <w:lang w:val="en-US" w:eastAsia="zh-CN"/>
        </w:rPr>
        <w:t>（征求意见稿）</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color w:val="auto"/>
          <w:sz w:val="32"/>
          <w:szCs w:val="40"/>
          <w:lang w:val="en" w:eastAsia="zh-CN"/>
        </w:rPr>
      </w:pP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color w:val="auto"/>
          <w:sz w:val="32"/>
          <w:szCs w:val="40"/>
          <w:lang w:val="en" w:eastAsia="zh-CN"/>
        </w:rPr>
      </w:pPr>
      <w:r>
        <w:rPr>
          <w:rFonts w:hint="default" w:ascii="Times New Roman" w:hAnsi="Times New Roman" w:eastAsia="仿宋_GB2312" w:cs="Times New Roman"/>
          <w:color w:val="auto"/>
          <w:sz w:val="32"/>
          <w:szCs w:val="40"/>
          <w:lang w:val="en" w:eastAsia="zh-CN"/>
        </w:rPr>
        <w:t>为进一步加强非道路移动机械污染防治，持续改善环境空气质量，保障人民群众身体健康，根据《中华人民共和国大气污染防治法》《河南省大气污染防治条例》《河南省人民政府关于印发河南省空气质量持续改善行动计划的通知》《许昌市机动车和非道路移动机械排气污染防治条例》相关规定，结合我市实际，</w:t>
      </w:r>
      <w:r>
        <w:rPr>
          <w:rFonts w:hint="eastAsia" w:ascii="Times New Roman" w:hAnsi="Times New Roman" w:eastAsia="仿宋_GB2312" w:cs="Times New Roman"/>
          <w:color w:val="auto"/>
          <w:sz w:val="32"/>
          <w:szCs w:val="40"/>
          <w:lang w:val="en" w:eastAsia="zh-CN"/>
        </w:rPr>
        <w:t>拟</w:t>
      </w:r>
      <w:r>
        <w:rPr>
          <w:rFonts w:hint="default" w:ascii="Times New Roman" w:hAnsi="Times New Roman" w:eastAsia="仿宋_GB2312" w:cs="Times New Roman"/>
          <w:color w:val="auto"/>
          <w:sz w:val="32"/>
          <w:szCs w:val="40"/>
          <w:lang w:val="en" w:eastAsia="zh-CN"/>
        </w:rPr>
        <w:t>对</w:t>
      </w:r>
      <w:r>
        <w:rPr>
          <w:rFonts w:hint="default" w:ascii="Times New Roman" w:hAnsi="Times New Roman" w:eastAsia="仿宋_GB2312" w:cs="Times New Roman"/>
          <w:color w:val="auto"/>
          <w:sz w:val="32"/>
          <w:szCs w:val="40"/>
          <w:lang w:val="en-US" w:eastAsia="zh-CN"/>
        </w:rPr>
        <w:t>202</w:t>
      </w:r>
      <w:r>
        <w:rPr>
          <w:rFonts w:hint="eastAsia" w:ascii="Times New Roman" w:hAnsi="Times New Roman" w:eastAsia="仿宋_GB2312" w:cs="Times New Roman"/>
          <w:color w:val="auto"/>
          <w:sz w:val="32"/>
          <w:szCs w:val="40"/>
          <w:lang w:val="en-US" w:eastAsia="zh-CN"/>
        </w:rPr>
        <w:t>4</w:t>
      </w:r>
      <w:r>
        <w:rPr>
          <w:rFonts w:hint="default" w:ascii="Times New Roman" w:hAnsi="Times New Roman" w:eastAsia="仿宋_GB2312" w:cs="Times New Roman"/>
          <w:color w:val="auto"/>
          <w:sz w:val="32"/>
          <w:szCs w:val="40"/>
          <w:lang w:val="en-US" w:eastAsia="zh-CN"/>
        </w:rPr>
        <w:t>年</w:t>
      </w:r>
      <w:r>
        <w:rPr>
          <w:rFonts w:hint="eastAsia" w:ascii="Times New Roman" w:hAnsi="Times New Roman" w:eastAsia="仿宋_GB2312" w:cs="Times New Roman"/>
          <w:color w:val="auto"/>
          <w:sz w:val="32"/>
          <w:szCs w:val="40"/>
          <w:lang w:val="en-US" w:eastAsia="zh-CN"/>
        </w:rPr>
        <w:t>更新划定</w:t>
      </w:r>
      <w:r>
        <w:rPr>
          <w:rFonts w:hint="default" w:ascii="Times New Roman" w:hAnsi="Times New Roman" w:eastAsia="仿宋_GB2312" w:cs="Times New Roman"/>
          <w:color w:val="auto"/>
          <w:sz w:val="32"/>
          <w:szCs w:val="40"/>
          <w:lang w:val="en" w:eastAsia="zh-CN"/>
        </w:rPr>
        <w:t>的许昌市高排放非道路移动机械禁用区进行调整。现将有关事项通告如下：</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黑体" w:cs="Times New Roman"/>
          <w:color w:val="auto"/>
          <w:sz w:val="32"/>
          <w:szCs w:val="32"/>
          <w:lang w:val="en-US" w:eastAsia="zh-CN"/>
        </w:rPr>
      </w:pPr>
      <w:r>
        <w:rPr>
          <w:rFonts w:hint="eastAsia" w:ascii="Times New Roman" w:hAnsi="Times New Roman" w:eastAsia="黑体" w:cs="Times New Roman"/>
          <w:color w:val="auto"/>
          <w:sz w:val="32"/>
          <w:szCs w:val="32"/>
          <w:lang w:val="en-US" w:eastAsia="zh-CN"/>
        </w:rPr>
        <w:t>一</w:t>
      </w:r>
      <w:r>
        <w:rPr>
          <w:rFonts w:hint="default" w:ascii="Times New Roman" w:hAnsi="Times New Roman" w:eastAsia="黑体" w:cs="Times New Roman"/>
          <w:color w:val="auto"/>
          <w:sz w:val="32"/>
          <w:szCs w:val="32"/>
          <w:lang w:val="en-US" w:eastAsia="zh-CN"/>
        </w:rPr>
        <w:t>、非道路移动机械种类和高排放非道路移动机械认定标准</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楷体_GB2312" w:cs="Times New Roman"/>
          <w:color w:val="auto"/>
          <w:sz w:val="32"/>
          <w:szCs w:val="40"/>
          <w:lang w:val="en-US" w:eastAsia="zh-CN"/>
        </w:rPr>
      </w:pPr>
      <w:r>
        <w:rPr>
          <w:rFonts w:hint="default" w:ascii="Times New Roman" w:hAnsi="Times New Roman" w:eastAsia="楷体_GB2312" w:cs="Times New Roman"/>
          <w:color w:val="auto"/>
          <w:sz w:val="32"/>
          <w:szCs w:val="40"/>
          <w:lang w:val="en-US" w:eastAsia="zh-CN"/>
        </w:rPr>
        <w:t>（一）非道路移动机械种类</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32"/>
          <w:szCs w:val="40"/>
          <w:lang w:val="en-US" w:eastAsia="zh-CN"/>
        </w:rPr>
        <w:t>本通告所指非道路移动机械是指装配有发动机的移动机械和可运输工业设备</w:t>
      </w:r>
      <w:r>
        <w:rPr>
          <w:rFonts w:hint="default" w:ascii="Times New Roman" w:hAnsi="Times New Roman" w:eastAsia="仿宋_GB2312" w:cs="Times New Roman"/>
          <w:color w:val="auto"/>
          <w:sz w:val="32"/>
          <w:szCs w:val="40"/>
          <w:lang w:val="en" w:eastAsia="zh-CN"/>
        </w:rPr>
        <w:t>，</w:t>
      </w:r>
      <w:r>
        <w:rPr>
          <w:rFonts w:hint="default" w:ascii="Times New Roman" w:hAnsi="Times New Roman" w:eastAsia="仿宋_GB2312" w:cs="Times New Roman"/>
          <w:color w:val="auto"/>
          <w:sz w:val="32"/>
          <w:szCs w:val="40"/>
          <w:lang w:val="en-US" w:eastAsia="zh-CN"/>
        </w:rPr>
        <w:t>主要包括挖掘机、起重机、推土机、装载机、压路机、摊铺机、平地机、叉车、桩工机械、堆高机、发电机组等机械类型。</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楷体_GB2312" w:cs="Times New Roman"/>
          <w:color w:val="auto"/>
          <w:sz w:val="32"/>
          <w:szCs w:val="40"/>
          <w:lang w:val="en-US" w:eastAsia="zh-CN"/>
        </w:rPr>
      </w:pPr>
      <w:r>
        <w:rPr>
          <w:rFonts w:hint="default" w:ascii="Times New Roman" w:hAnsi="Times New Roman" w:eastAsia="楷体_GB2312" w:cs="Times New Roman"/>
          <w:color w:val="auto"/>
          <w:sz w:val="32"/>
          <w:szCs w:val="40"/>
          <w:lang w:val="en-US" w:eastAsia="zh-CN"/>
        </w:rPr>
        <w:t>（二）高排放非道路移动机械认定标准</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eastAsia"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高排放非道路移动机械是指依据《中华人民共和国大气污染防治法》第五十九条和《非道路柴油移动机械排气烟度限值及测量方法》（GB36886—2018）规定，未安装污染物控制装置或者污染物控制装置不符合要求</w:t>
      </w:r>
      <w:r>
        <w:rPr>
          <w:rFonts w:hint="eastAsia" w:ascii="Times New Roman" w:hAnsi="Times New Roman" w:eastAsia="仿宋_GB2312" w:cs="Times New Roman"/>
          <w:color w:val="auto"/>
          <w:kern w:val="0"/>
          <w:sz w:val="32"/>
          <w:szCs w:val="32"/>
          <w:lang w:val="en-US" w:eastAsia="zh-CN"/>
        </w:rPr>
        <w:t>的非道路移动机械</w:t>
      </w:r>
      <w:r>
        <w:rPr>
          <w:rFonts w:hint="default" w:ascii="Times New Roman" w:hAnsi="Times New Roman" w:eastAsia="仿宋_GB2312" w:cs="Times New Roman"/>
          <w:color w:val="auto"/>
          <w:kern w:val="0"/>
          <w:sz w:val="32"/>
          <w:szCs w:val="32"/>
          <w:lang w:val="en-US" w:eastAsia="zh-CN"/>
        </w:rPr>
        <w:t>，</w:t>
      </w:r>
      <w:r>
        <w:rPr>
          <w:rFonts w:hint="eastAsia" w:ascii="Times New Roman" w:hAnsi="Times New Roman" w:eastAsia="仿宋_GB2312" w:cs="Times New Roman"/>
          <w:color w:val="auto"/>
          <w:kern w:val="0"/>
          <w:sz w:val="32"/>
          <w:szCs w:val="32"/>
          <w:lang w:val="en-US" w:eastAsia="zh-CN"/>
        </w:rPr>
        <w:t>国二、国一及以下排放标准非道路移动机械，以及排气烟度超过《非道路柴油移动机械排气烟度限值及测量方法》（GB36886—2018）Ⅲ类限值的非道路柴油移动机械。</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黑体" w:cs="Times New Roman"/>
          <w:color w:val="auto"/>
          <w:sz w:val="32"/>
          <w:szCs w:val="32"/>
          <w:lang w:val="en-US" w:eastAsia="zh-CN"/>
        </w:rPr>
      </w:pPr>
      <w:r>
        <w:rPr>
          <w:rFonts w:hint="eastAsia" w:ascii="Times New Roman" w:hAnsi="Times New Roman" w:eastAsia="黑体" w:cs="Times New Roman"/>
          <w:color w:val="auto"/>
          <w:sz w:val="32"/>
          <w:szCs w:val="32"/>
          <w:lang w:val="en-US" w:eastAsia="zh-CN"/>
        </w:rPr>
        <w:t>二</w:t>
      </w:r>
      <w:r>
        <w:rPr>
          <w:rFonts w:hint="default" w:ascii="Times New Roman" w:hAnsi="Times New Roman" w:eastAsia="黑体" w:cs="Times New Roman"/>
          <w:color w:val="auto"/>
          <w:sz w:val="32"/>
          <w:szCs w:val="32"/>
          <w:lang w:val="en-US" w:eastAsia="zh-CN"/>
        </w:rPr>
        <w:t>、高排放非道路移动机械禁用区范围</w:t>
      </w:r>
      <w:r>
        <w:rPr>
          <w:rFonts w:hint="eastAsia" w:ascii="Times New Roman" w:hAnsi="Times New Roman" w:eastAsia="黑体" w:cs="Times New Roman"/>
          <w:color w:val="auto"/>
          <w:sz w:val="32"/>
          <w:szCs w:val="32"/>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eastAsia" w:ascii="Times New Roman" w:hAnsi="Times New Roman" w:eastAsia="仿宋_GB2312" w:cs="Times New Roman"/>
          <w:color w:val="auto"/>
          <w:kern w:val="0"/>
          <w:sz w:val="32"/>
          <w:szCs w:val="32"/>
          <w:lang w:val="en-US" w:eastAsia="zh-CN"/>
        </w:rPr>
      </w:pPr>
      <w:r>
        <w:rPr>
          <w:rFonts w:hint="eastAsia" w:ascii="Times New Roman" w:hAnsi="Times New Roman" w:eastAsia="仿宋_GB2312" w:cs="Times New Roman"/>
          <w:color w:val="auto"/>
          <w:sz w:val="32"/>
          <w:szCs w:val="40"/>
          <w:highlight w:val="none"/>
          <w:lang w:val="en-US" w:eastAsia="zh-CN"/>
        </w:rPr>
        <w:t>1.</w:t>
      </w:r>
      <w:r>
        <w:rPr>
          <w:rFonts w:hint="eastAsia" w:ascii="Times New Roman" w:hAnsi="Times New Roman" w:eastAsia="仿宋_GB2312" w:cs="Times New Roman"/>
          <w:color w:val="auto"/>
          <w:sz w:val="32"/>
          <w:szCs w:val="40"/>
          <w:lang w:val="en-US" w:eastAsia="zh-CN"/>
        </w:rPr>
        <w:t>许昌市行政区域内禁止使用</w:t>
      </w:r>
      <w:r>
        <w:rPr>
          <w:rFonts w:hint="default" w:ascii="Times New Roman" w:hAnsi="Times New Roman" w:eastAsia="仿宋_GB2312" w:cs="Times New Roman"/>
          <w:color w:val="auto"/>
          <w:kern w:val="0"/>
          <w:sz w:val="32"/>
          <w:szCs w:val="32"/>
          <w:lang w:val="en-US" w:eastAsia="zh-CN"/>
        </w:rPr>
        <w:t>未安装污染物控制装置或者污染物控制装置不符合要求</w:t>
      </w:r>
      <w:r>
        <w:rPr>
          <w:rFonts w:hint="eastAsia" w:ascii="Times New Roman" w:hAnsi="Times New Roman" w:eastAsia="仿宋_GB2312" w:cs="Times New Roman"/>
          <w:color w:val="auto"/>
          <w:kern w:val="0"/>
          <w:sz w:val="32"/>
          <w:szCs w:val="32"/>
          <w:lang w:val="en-US" w:eastAsia="zh-CN"/>
        </w:rPr>
        <w:t>的非道路移动机械、国一及以下排放标准非道路移动机械。</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eastAsia" w:ascii="Times New Roman" w:hAnsi="Times New Roman" w:eastAsia="仿宋_GB2312" w:cs="Times New Roman"/>
          <w:color w:val="auto"/>
          <w:kern w:val="0"/>
          <w:sz w:val="32"/>
          <w:szCs w:val="32"/>
          <w:lang w:val="en-US" w:eastAsia="zh-CN"/>
        </w:rPr>
      </w:pPr>
      <w:r>
        <w:rPr>
          <w:rFonts w:hint="eastAsia" w:ascii="Times New Roman" w:hAnsi="Times New Roman" w:eastAsia="仿宋_GB2312" w:cs="Times New Roman"/>
          <w:color w:val="auto"/>
          <w:kern w:val="0"/>
          <w:sz w:val="32"/>
          <w:szCs w:val="32"/>
          <w:highlight w:val="none"/>
          <w:lang w:val="en-US" w:eastAsia="zh-CN"/>
        </w:rPr>
        <w:t>2.</w:t>
      </w:r>
      <w:r>
        <w:rPr>
          <w:rFonts w:hint="eastAsia" w:ascii="Times New Roman" w:hAnsi="Times New Roman" w:eastAsia="仿宋_GB2312" w:cs="Times New Roman"/>
          <w:color w:val="auto"/>
          <w:kern w:val="0"/>
          <w:sz w:val="32"/>
          <w:szCs w:val="32"/>
          <w:lang w:val="en-US" w:eastAsia="zh-CN"/>
        </w:rPr>
        <w:t>国二非道路移动机械、排气烟度超过《非道路柴油移动机械排气烟度限值及测量方法》（GB 36886—2018）Ⅲ类限值的非道路柴油移动机械禁用区范围如下：</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color w:val="auto"/>
          <w:sz w:val="32"/>
          <w:szCs w:val="40"/>
          <w:lang w:val="en-US" w:eastAsia="zh-CN"/>
        </w:rPr>
      </w:pPr>
      <w:r>
        <w:rPr>
          <w:rFonts w:hint="eastAsia" w:ascii="Times New Roman" w:hAnsi="Times New Roman" w:eastAsia="仿宋_GB2312" w:cs="Times New Roman"/>
          <w:color w:val="auto"/>
          <w:sz w:val="32"/>
          <w:szCs w:val="40"/>
          <w:lang w:val="en-US" w:eastAsia="zh-CN"/>
        </w:rPr>
        <w:t>（1）许昌市行政区域内</w:t>
      </w:r>
      <w:r>
        <w:rPr>
          <w:rFonts w:hint="default" w:ascii="Times New Roman" w:hAnsi="Times New Roman" w:eastAsia="仿宋_GB2312" w:cs="Times New Roman"/>
          <w:color w:val="auto"/>
          <w:sz w:val="32"/>
          <w:szCs w:val="40"/>
          <w:lang w:val="en-US" w:eastAsia="zh-CN"/>
        </w:rPr>
        <w:t>的铁路货场、物流园区、港口、工矿企业、施工工地。</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color w:val="auto"/>
          <w:sz w:val="32"/>
          <w:szCs w:val="40"/>
          <w:lang w:val="en-US" w:eastAsia="zh-CN"/>
        </w:rPr>
      </w:pPr>
      <w:r>
        <w:rPr>
          <w:rFonts w:hint="eastAsia" w:ascii="Times New Roman" w:hAnsi="Times New Roman" w:eastAsia="仿宋_GB2312" w:cs="Times New Roman"/>
          <w:color w:val="auto"/>
          <w:sz w:val="32"/>
          <w:szCs w:val="40"/>
          <w:lang w:val="en-US" w:eastAsia="zh-CN"/>
        </w:rPr>
        <w:t>（2）许昌市中心城区，具体范围为：永灵高速（许昌北绕城段）—国道107—盐洛高速—许广高速—国道311（西南环段）—新兴西路—盐洛高速—禹亳铁路—京广铁路围成的封闭区域（以上道路均不含本路）</w:t>
      </w:r>
      <w:r>
        <w:rPr>
          <w:rFonts w:hint="default" w:ascii="Times New Roman" w:hAnsi="Times New Roman" w:eastAsia="仿宋_GB2312" w:cs="Times New Roman"/>
          <w:color w:val="auto"/>
          <w:sz w:val="32"/>
          <w:szCs w:val="40"/>
          <w:lang w:val="en-US" w:eastAsia="zh-CN"/>
        </w:rPr>
        <w:t>。</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color w:val="auto"/>
          <w:sz w:val="32"/>
          <w:szCs w:val="40"/>
          <w:lang w:val="en-US" w:eastAsia="zh-CN"/>
        </w:rPr>
      </w:pPr>
      <w:r>
        <w:rPr>
          <w:rFonts w:hint="eastAsia" w:ascii="Times New Roman" w:hAnsi="Times New Roman" w:eastAsia="仿宋_GB2312" w:cs="Times New Roman"/>
          <w:color w:val="auto"/>
          <w:sz w:val="32"/>
          <w:szCs w:val="40"/>
          <w:lang w:val="en-US" w:eastAsia="zh-CN"/>
        </w:rPr>
        <w:t>（3）</w:t>
      </w:r>
      <w:r>
        <w:rPr>
          <w:rFonts w:hint="default" w:ascii="Times New Roman" w:hAnsi="Times New Roman" w:eastAsia="仿宋_GB2312" w:cs="Times New Roman"/>
          <w:color w:val="auto"/>
          <w:sz w:val="32"/>
          <w:szCs w:val="40"/>
          <w:lang w:val="en-US" w:eastAsia="zh-CN"/>
        </w:rPr>
        <w:t>禹州市、长葛市、鄢陵县、襄城县按规定</w:t>
      </w:r>
      <w:r>
        <w:rPr>
          <w:rFonts w:hint="eastAsia" w:ascii="Times New Roman" w:hAnsi="Times New Roman" w:eastAsia="仿宋_GB2312" w:cs="Times New Roman"/>
          <w:color w:val="auto"/>
          <w:sz w:val="32"/>
          <w:szCs w:val="40"/>
          <w:lang w:val="en-US" w:eastAsia="zh-CN"/>
        </w:rPr>
        <w:t>调整划定</w:t>
      </w:r>
      <w:r>
        <w:rPr>
          <w:rFonts w:hint="default" w:ascii="Times New Roman" w:hAnsi="Times New Roman" w:eastAsia="仿宋_GB2312" w:cs="Times New Roman"/>
          <w:color w:val="auto"/>
          <w:sz w:val="32"/>
          <w:szCs w:val="40"/>
          <w:lang w:val="en-US" w:eastAsia="zh-CN"/>
        </w:rPr>
        <w:t>高排放非道路移动机械禁用区范围。</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cs="Times New Roman"/>
          <w:color w:val="auto"/>
          <w:lang w:val="en" w:eastAsia="zh-CN"/>
        </w:rPr>
      </w:pPr>
      <w:r>
        <w:rPr>
          <w:rFonts w:hint="default" w:ascii="Times New Roman" w:hAnsi="Times New Roman" w:eastAsia="黑体" w:cs="Times New Roman"/>
          <w:color w:val="auto"/>
          <w:sz w:val="32"/>
          <w:szCs w:val="32"/>
          <w:lang w:val="en" w:eastAsia="zh-CN"/>
        </w:rPr>
        <w:t>三、</w:t>
      </w:r>
      <w:r>
        <w:rPr>
          <w:rFonts w:hint="eastAsia" w:ascii="Times New Roman" w:hAnsi="Times New Roman" w:eastAsia="黑体" w:cs="Times New Roman"/>
          <w:color w:val="auto"/>
          <w:sz w:val="32"/>
          <w:szCs w:val="32"/>
          <w:lang w:val="en-US" w:eastAsia="zh-CN"/>
        </w:rPr>
        <w:t>有关要求</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color w:val="auto"/>
          <w:sz w:val="32"/>
          <w:szCs w:val="40"/>
          <w:lang w:val="en-US" w:eastAsia="zh-CN"/>
        </w:rPr>
      </w:pPr>
      <w:r>
        <w:rPr>
          <w:rFonts w:hint="default" w:ascii="Times New Roman" w:hAnsi="Times New Roman" w:eastAsia="仿宋_GB2312" w:cs="Times New Roman"/>
          <w:color w:val="auto"/>
          <w:sz w:val="32"/>
          <w:szCs w:val="40"/>
          <w:lang w:val="en-US" w:eastAsia="zh-CN"/>
        </w:rPr>
        <w:t>1.鼓励和支持生产、销售、使用新能源非道路移动机械。</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color w:val="auto"/>
          <w:sz w:val="32"/>
          <w:szCs w:val="40"/>
          <w:lang w:val="en-US" w:eastAsia="zh-CN"/>
        </w:rPr>
        <w:t>2.</w:t>
      </w:r>
      <w:r>
        <w:rPr>
          <w:rFonts w:hint="default" w:ascii="Times New Roman" w:hAnsi="Times New Roman" w:eastAsia="仿宋_GB2312" w:cs="Times New Roman"/>
          <w:color w:val="auto"/>
          <w:sz w:val="32"/>
          <w:szCs w:val="40"/>
          <w:u w:val="none"/>
          <w:lang w:val="en-US" w:eastAsia="zh-CN"/>
        </w:rPr>
        <w:t>许昌市行政区域内禁止使用未进行编码登记、未悬挂环保号牌、定位联网失效的非道路移动机械。</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color w:val="auto"/>
          <w:sz w:val="32"/>
          <w:szCs w:val="40"/>
          <w:lang w:val="en-US" w:eastAsia="zh-CN"/>
        </w:rPr>
      </w:pPr>
      <w:r>
        <w:rPr>
          <w:rFonts w:hint="default" w:ascii="Times New Roman" w:hAnsi="Times New Roman" w:eastAsia="仿宋_GB2312" w:cs="Times New Roman"/>
          <w:color w:val="auto"/>
          <w:sz w:val="32"/>
          <w:szCs w:val="40"/>
          <w:lang w:val="en-US" w:eastAsia="zh-CN"/>
        </w:rPr>
        <w:t>3.生态环境、交通运输、住房城乡建设、水利、城市管理等部门应当根据各自职责</w:t>
      </w:r>
      <w:r>
        <w:rPr>
          <w:rFonts w:hint="eastAsia" w:ascii="Times New Roman" w:hAnsi="Times New Roman" w:eastAsia="仿宋_GB2312" w:cs="Times New Roman"/>
          <w:color w:val="auto"/>
          <w:sz w:val="32"/>
          <w:szCs w:val="40"/>
          <w:lang w:val="en-US" w:eastAsia="zh-CN"/>
        </w:rPr>
        <w:t>，</w:t>
      </w:r>
      <w:r>
        <w:rPr>
          <w:rFonts w:hint="default" w:ascii="Times New Roman" w:hAnsi="Times New Roman" w:eastAsia="仿宋_GB2312" w:cs="Times New Roman"/>
          <w:color w:val="auto"/>
          <w:sz w:val="32"/>
          <w:szCs w:val="40"/>
          <w:lang w:val="en-US" w:eastAsia="zh-CN"/>
        </w:rPr>
        <w:t>在工作中落实本通</w:t>
      </w:r>
      <w:r>
        <w:rPr>
          <w:rFonts w:hint="default" w:ascii="Times New Roman" w:hAnsi="Times New Roman" w:eastAsia="仿宋_GB2312" w:cs="Times New Roman"/>
          <w:color w:val="auto"/>
          <w:sz w:val="32"/>
          <w:szCs w:val="40"/>
          <w:lang w:val="en" w:eastAsia="zh-CN"/>
        </w:rPr>
        <w:t>告</w:t>
      </w:r>
      <w:r>
        <w:rPr>
          <w:rFonts w:hint="default" w:ascii="Times New Roman" w:hAnsi="Times New Roman" w:eastAsia="仿宋_GB2312" w:cs="Times New Roman"/>
          <w:color w:val="auto"/>
          <w:sz w:val="32"/>
          <w:szCs w:val="40"/>
          <w:lang w:val="en-US" w:eastAsia="zh-CN"/>
        </w:rPr>
        <w:t>要求，并对高排放非道路移动机械禁用区域进行监督管理。</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color w:val="auto"/>
          <w:sz w:val="32"/>
          <w:szCs w:val="40"/>
          <w:lang w:val="en-US" w:eastAsia="zh-CN"/>
        </w:rPr>
      </w:pPr>
      <w:r>
        <w:rPr>
          <w:rFonts w:hint="eastAsia" w:ascii="Times New Roman" w:hAnsi="Times New Roman" w:eastAsia="仿宋_GB2312" w:cs="Times New Roman"/>
          <w:color w:val="auto"/>
          <w:sz w:val="32"/>
          <w:szCs w:val="40"/>
          <w:highlight w:val="none"/>
          <w:lang w:val="en-US" w:eastAsia="zh-CN"/>
        </w:rPr>
        <w:t>4</w:t>
      </w:r>
      <w:r>
        <w:rPr>
          <w:rFonts w:hint="default" w:ascii="Times New Roman" w:hAnsi="Times New Roman" w:eastAsia="仿宋_GB2312" w:cs="Times New Roman"/>
          <w:color w:val="auto"/>
          <w:sz w:val="32"/>
          <w:szCs w:val="40"/>
          <w:highlight w:val="none"/>
          <w:lang w:val="en-US" w:eastAsia="zh-CN"/>
        </w:rPr>
        <w:t>.</w:t>
      </w:r>
      <w:r>
        <w:rPr>
          <w:rFonts w:hint="default" w:ascii="Times New Roman" w:hAnsi="Times New Roman" w:eastAsia="仿宋_GB2312" w:cs="Times New Roman"/>
          <w:color w:val="auto"/>
          <w:sz w:val="32"/>
          <w:szCs w:val="40"/>
          <w:lang w:val="en-US" w:eastAsia="zh-CN"/>
        </w:rPr>
        <w:t>依据《中华人民共和国大气污染防治法》第一百一十四条、《河南省大气污染防治条例》第七十四条规定，</w:t>
      </w:r>
      <w:r>
        <w:rPr>
          <w:rFonts w:hint="default" w:ascii="Times New Roman" w:hAnsi="Times New Roman" w:eastAsia="仿宋_GB2312" w:cs="Times New Roman"/>
          <w:color w:val="auto"/>
          <w:sz w:val="32"/>
          <w:szCs w:val="32"/>
        </w:rPr>
        <w:t>在禁止使用高排放非道路移动机械的区域使用高排放非道路移动机械的，由城市人民政府</w:t>
      </w:r>
      <w:r>
        <w:rPr>
          <w:rFonts w:hint="default" w:ascii="Times New Roman" w:hAnsi="Times New Roman" w:eastAsia="仿宋_GB2312" w:cs="Times New Roman"/>
          <w:color w:val="auto"/>
          <w:sz w:val="32"/>
          <w:szCs w:val="32"/>
          <w:lang w:eastAsia="zh-CN"/>
        </w:rPr>
        <w:t>生态</w:t>
      </w:r>
      <w:r>
        <w:rPr>
          <w:rFonts w:hint="default" w:ascii="Times New Roman" w:hAnsi="Times New Roman" w:eastAsia="仿宋_GB2312" w:cs="Times New Roman"/>
          <w:color w:val="auto"/>
          <w:sz w:val="32"/>
          <w:szCs w:val="32"/>
        </w:rPr>
        <w:t>环境主管部门或者其他负有大气环境保护监督管理职责的部门责令停止使用，处五千元以上二万元以下罚款。</w:t>
      </w:r>
    </w:p>
    <w:p>
      <w:pPr>
        <w:keepNext w:val="0"/>
        <w:keepLines w:val="0"/>
        <w:pageBreakBefore w:val="0"/>
        <w:widowControl w:val="0"/>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四、实施时间</w:t>
      </w:r>
    </w:p>
    <w:p>
      <w:pPr>
        <w:keepNext w:val="0"/>
        <w:keepLines w:val="0"/>
        <w:pageBreakBefore w:val="0"/>
        <w:widowControl w:val="0"/>
        <w:kinsoku/>
        <w:wordWrap/>
        <w:overflowPunct w:val="0"/>
        <w:topLinePunct w:val="0"/>
        <w:autoSpaceDE/>
        <w:autoSpaceDN/>
        <w:bidi w:val="0"/>
        <w:adjustRightInd/>
        <w:snapToGrid w:val="0"/>
        <w:spacing w:line="600" w:lineRule="exact"/>
        <w:ind w:left="0" w:leftChars="0" w:right="0" w:rightChars="0" w:firstLineChars="200"/>
        <w:jc w:val="both"/>
        <w:textAlignment w:val="auto"/>
        <w:outlineLvl w:val="9"/>
        <w:rPr>
          <w:rFonts w:hint="default" w:ascii="Times New Roman" w:hAnsi="Times New Roman" w:eastAsia="仿宋_GB2312" w:cs="Times New Roman"/>
          <w:color w:val="auto"/>
          <w:sz w:val="32"/>
          <w:szCs w:val="40"/>
          <w:lang w:val="en-US" w:eastAsia="zh-CN"/>
        </w:rPr>
      </w:pPr>
      <w:r>
        <w:rPr>
          <w:rFonts w:hint="default" w:ascii="Times New Roman" w:hAnsi="Times New Roman" w:eastAsia="仿宋_GB2312" w:cs="Times New Roman"/>
          <w:color w:val="auto"/>
          <w:sz w:val="32"/>
          <w:szCs w:val="40"/>
          <w:lang w:val="en-US" w:eastAsia="zh-CN"/>
        </w:rPr>
        <w:t>本通告自</w:t>
      </w:r>
      <w:r>
        <w:rPr>
          <w:rFonts w:hint="default" w:ascii="Times New Roman" w:hAnsi="Times New Roman" w:eastAsia="仿宋_GB2312" w:cs="Times New Roman"/>
          <w:color w:val="auto"/>
          <w:sz w:val="32"/>
          <w:szCs w:val="40"/>
          <w:lang w:val="en" w:eastAsia="zh-CN"/>
        </w:rPr>
        <w:t>发布之日</w:t>
      </w:r>
      <w:r>
        <w:rPr>
          <w:rFonts w:hint="default" w:ascii="Times New Roman" w:hAnsi="Times New Roman" w:eastAsia="仿宋_GB2312" w:cs="Times New Roman"/>
          <w:color w:val="auto"/>
          <w:sz w:val="32"/>
          <w:szCs w:val="40"/>
          <w:lang w:val="en-US" w:eastAsia="zh-CN"/>
        </w:rPr>
        <w:t>起施行。许昌市人民政府202</w:t>
      </w:r>
      <w:r>
        <w:rPr>
          <w:rFonts w:hint="eastAsia" w:ascii="Times New Roman" w:hAnsi="Times New Roman" w:eastAsia="仿宋_GB2312" w:cs="Times New Roman"/>
          <w:color w:val="auto"/>
          <w:sz w:val="32"/>
          <w:szCs w:val="40"/>
          <w:lang w:val="en-US" w:eastAsia="zh-CN"/>
        </w:rPr>
        <w:t>4</w:t>
      </w:r>
      <w:r>
        <w:rPr>
          <w:rFonts w:hint="default" w:ascii="Times New Roman" w:hAnsi="Times New Roman" w:eastAsia="仿宋_GB2312" w:cs="Times New Roman"/>
          <w:color w:val="auto"/>
          <w:sz w:val="32"/>
          <w:szCs w:val="40"/>
          <w:lang w:val="en-US" w:eastAsia="zh-CN"/>
        </w:rPr>
        <w:t>年</w:t>
      </w:r>
      <w:r>
        <w:rPr>
          <w:rFonts w:hint="eastAsia" w:ascii="Times New Roman" w:hAnsi="Times New Roman" w:eastAsia="仿宋_GB2312" w:cs="Times New Roman"/>
          <w:color w:val="auto"/>
          <w:sz w:val="32"/>
          <w:szCs w:val="40"/>
          <w:lang w:val="en-US" w:eastAsia="zh-CN"/>
        </w:rPr>
        <w:t>8</w:t>
      </w:r>
      <w:r>
        <w:rPr>
          <w:rFonts w:hint="default" w:ascii="Times New Roman" w:hAnsi="Times New Roman" w:eastAsia="仿宋_GB2312" w:cs="Times New Roman"/>
          <w:color w:val="auto"/>
          <w:sz w:val="32"/>
          <w:szCs w:val="40"/>
          <w:lang w:val="en-US" w:eastAsia="zh-CN"/>
        </w:rPr>
        <w:t>月</w:t>
      </w:r>
      <w:r>
        <w:rPr>
          <w:rFonts w:hint="eastAsia" w:ascii="Times New Roman" w:hAnsi="Times New Roman" w:eastAsia="仿宋_GB2312" w:cs="Times New Roman"/>
          <w:color w:val="auto"/>
          <w:sz w:val="32"/>
          <w:szCs w:val="40"/>
          <w:lang w:val="en-US" w:eastAsia="zh-CN"/>
        </w:rPr>
        <w:t>29</w:t>
      </w:r>
      <w:r>
        <w:rPr>
          <w:rFonts w:hint="default" w:ascii="Times New Roman" w:hAnsi="Times New Roman" w:eastAsia="仿宋_GB2312" w:cs="Times New Roman"/>
          <w:color w:val="auto"/>
          <w:sz w:val="32"/>
          <w:szCs w:val="40"/>
          <w:lang w:val="en-US" w:eastAsia="zh-CN"/>
        </w:rPr>
        <w:t>日发布的《</w:t>
      </w:r>
      <w:r>
        <w:rPr>
          <w:rFonts w:hint="eastAsia" w:ascii="Times New Roman" w:hAnsi="Times New Roman" w:eastAsia="仿宋_GB2312" w:cs="Times New Roman"/>
          <w:color w:val="auto"/>
          <w:sz w:val="32"/>
          <w:szCs w:val="40"/>
          <w:lang w:val="en-US" w:eastAsia="zh-CN"/>
        </w:rPr>
        <w:t>许昌市人民政府</w:t>
      </w:r>
      <w:r>
        <w:rPr>
          <w:rFonts w:hint="default" w:ascii="Times New Roman" w:hAnsi="Times New Roman" w:eastAsia="仿宋_GB2312" w:cs="Times New Roman"/>
          <w:color w:val="auto"/>
          <w:sz w:val="32"/>
          <w:szCs w:val="40"/>
          <w:lang w:val="en-US" w:eastAsia="zh-CN"/>
        </w:rPr>
        <w:t>关于</w:t>
      </w:r>
      <w:r>
        <w:rPr>
          <w:rFonts w:hint="eastAsia" w:ascii="Times New Roman" w:hAnsi="Times New Roman" w:eastAsia="仿宋_GB2312" w:cs="Times New Roman"/>
          <w:color w:val="auto"/>
          <w:sz w:val="32"/>
          <w:szCs w:val="40"/>
          <w:lang w:val="en-US" w:eastAsia="zh-CN"/>
        </w:rPr>
        <w:t>更新划定</w:t>
      </w:r>
      <w:r>
        <w:rPr>
          <w:rFonts w:hint="default" w:ascii="Times New Roman" w:hAnsi="Times New Roman" w:eastAsia="仿宋_GB2312" w:cs="Times New Roman"/>
          <w:color w:val="auto"/>
          <w:sz w:val="32"/>
          <w:szCs w:val="40"/>
          <w:lang w:val="en-US" w:eastAsia="zh-CN"/>
        </w:rPr>
        <w:t>高排放非道路移动机械禁用区的通告》（许政通〔202</w:t>
      </w:r>
      <w:r>
        <w:rPr>
          <w:rFonts w:hint="eastAsia" w:ascii="Times New Roman" w:hAnsi="Times New Roman" w:eastAsia="仿宋_GB2312" w:cs="Times New Roman"/>
          <w:color w:val="auto"/>
          <w:sz w:val="32"/>
          <w:szCs w:val="40"/>
          <w:lang w:val="en-US" w:eastAsia="zh-CN"/>
        </w:rPr>
        <w:t>4</w:t>
      </w:r>
      <w:r>
        <w:rPr>
          <w:rFonts w:hint="default" w:ascii="Times New Roman" w:hAnsi="Times New Roman" w:eastAsia="仿宋_GB2312" w:cs="Times New Roman"/>
          <w:color w:val="auto"/>
          <w:sz w:val="32"/>
          <w:szCs w:val="40"/>
          <w:lang w:val="en-US" w:eastAsia="zh-CN"/>
        </w:rPr>
        <w:t>〕1号）同时废止。</w:t>
      </w:r>
    </w:p>
    <w:p>
      <w:pPr>
        <w:keepNext w:val="0"/>
        <w:keepLines w:val="0"/>
        <w:pageBreakBefore w:val="0"/>
        <w:widowControl w:val="0"/>
        <w:kinsoku/>
        <w:wordWrap/>
        <w:overflowPunct w:val="0"/>
        <w:topLinePunct w:val="0"/>
        <w:autoSpaceDE/>
        <w:autoSpaceDN/>
        <w:bidi w:val="0"/>
        <w:adjustRightInd/>
        <w:snapToGrid w:val="0"/>
        <w:spacing w:line="600" w:lineRule="exact"/>
        <w:ind w:left="0" w:leftChars="0" w:right="0" w:rightChars="0" w:firstLineChars="200"/>
        <w:jc w:val="both"/>
        <w:textAlignment w:val="auto"/>
        <w:outlineLvl w:val="9"/>
        <w:rPr>
          <w:rFonts w:hint="default" w:ascii="Times New Roman" w:hAnsi="Times New Roman" w:eastAsia="仿宋_GB2312" w:cs="Times New Roman"/>
          <w:color w:val="auto"/>
          <w:spacing w:val="-6"/>
          <w:kern w:val="2"/>
          <w:sz w:val="32"/>
        </w:rPr>
      </w:pPr>
      <w:r>
        <w:rPr>
          <w:rFonts w:hint="default" w:ascii="Times New Roman" w:hAnsi="Times New Roman" w:eastAsia="仿宋_GB2312" w:cs="Times New Roman"/>
          <w:color w:val="auto"/>
          <w:spacing w:val="-6"/>
          <w:kern w:val="2"/>
          <w:sz w:val="32"/>
        </w:rPr>
        <w:t>特此通告。</w:t>
      </w:r>
    </w:p>
    <w:p>
      <w:pPr>
        <w:keepNext w:val="0"/>
        <w:keepLines w:val="0"/>
        <w:pageBreakBefore w:val="0"/>
        <w:widowControl w:val="0"/>
        <w:kinsoku/>
        <w:wordWrap/>
        <w:overflowPunct w:val="0"/>
        <w:topLinePunct w:val="0"/>
        <w:autoSpaceDE/>
        <w:autoSpaceDN/>
        <w:bidi w:val="0"/>
        <w:adjustRightInd/>
        <w:snapToGrid w:val="0"/>
        <w:spacing w:line="600" w:lineRule="exact"/>
        <w:ind w:left="0" w:leftChars="0" w:right="0" w:rightChars="0" w:firstLineChars="200"/>
        <w:jc w:val="both"/>
        <w:textAlignment w:val="auto"/>
        <w:outlineLvl w:val="9"/>
        <w:rPr>
          <w:rFonts w:hint="default" w:ascii="Times New Roman" w:hAnsi="Times New Roman" w:eastAsia="仿宋_GB2312" w:cs="Times New Roman"/>
          <w:color w:val="auto"/>
          <w:spacing w:val="-6"/>
          <w:kern w:val="2"/>
          <w:sz w:val="32"/>
        </w:rPr>
      </w:pPr>
    </w:p>
    <w:p>
      <w:pPr>
        <w:keepNext w:val="0"/>
        <w:keepLines w:val="0"/>
        <w:pageBreakBefore w:val="0"/>
        <w:widowControl w:val="0"/>
        <w:kinsoku/>
        <w:wordWrap/>
        <w:overflowPunct w:val="0"/>
        <w:topLinePunct w:val="0"/>
        <w:autoSpaceDE/>
        <w:autoSpaceDN/>
        <w:bidi w:val="0"/>
        <w:adjustRightInd/>
        <w:snapToGrid w:val="0"/>
        <w:spacing w:line="600" w:lineRule="exact"/>
        <w:ind w:left="1598" w:leftChars="304" w:right="0" w:rightChars="0" w:hanging="960" w:hangingChars="300"/>
        <w:jc w:val="both"/>
        <w:textAlignment w:val="auto"/>
        <w:outlineLvl w:val="9"/>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z w:val="32"/>
          <w:szCs w:val="40"/>
          <w:lang w:val="en-US" w:eastAsia="zh-CN"/>
        </w:rPr>
        <w:t>附件：</w:t>
      </w:r>
      <w:r>
        <w:rPr>
          <w:rFonts w:hint="eastAsia" w:ascii="Times New Roman" w:hAnsi="Times New Roman" w:eastAsia="仿宋_GB2312" w:cs="Times New Roman"/>
          <w:color w:val="auto"/>
          <w:spacing w:val="0"/>
          <w:sz w:val="32"/>
          <w:szCs w:val="40"/>
          <w:lang w:val="en-US" w:eastAsia="zh-CN"/>
        </w:rPr>
        <w:t>许昌市中心城区高排放非道路移动机械</w:t>
      </w:r>
      <w:r>
        <w:rPr>
          <w:rFonts w:hint="default" w:ascii="Times New Roman" w:hAnsi="Times New Roman" w:eastAsia="仿宋_GB2312" w:cs="Times New Roman"/>
          <w:color w:val="auto"/>
          <w:spacing w:val="0"/>
          <w:sz w:val="32"/>
          <w:szCs w:val="40"/>
          <w:lang w:val="en-US" w:eastAsia="zh-CN"/>
        </w:rPr>
        <w:t>禁用区范围</w:t>
      </w:r>
      <w:r>
        <w:rPr>
          <w:rFonts w:hint="default" w:ascii="Times New Roman" w:hAnsi="Times New Roman" w:eastAsia="仿宋_GB2312" w:cs="Times New Roman"/>
          <w:color w:val="auto"/>
          <w:spacing w:val="0"/>
          <w:sz w:val="32"/>
          <w:szCs w:val="32"/>
          <w:highlight w:val="none"/>
        </w:rPr>
        <w:t>示意图</w:t>
      </w: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5"/>
        <w:rPr>
          <w:rFonts w:hint="default"/>
          <w:lang w:val="en" w:eastAsia="zh-CN"/>
        </w:rPr>
      </w:pPr>
    </w:p>
    <w:p>
      <w:pPr>
        <w:pStyle w:val="5"/>
        <w:keepNext w:val="0"/>
        <w:keepLines w:val="0"/>
        <w:pageBreakBefore w:val="0"/>
        <w:widowControl w:val="0"/>
        <w:kinsoku/>
        <w:wordWrap/>
        <w:overflowPunct w:val="0"/>
        <w:topLinePunct w:val="0"/>
        <w:bidi w:val="0"/>
        <w:spacing w:line="600" w:lineRule="exact"/>
        <w:ind w:left="0" w:leftChars="0"/>
        <w:textAlignment w:val="auto"/>
        <w:rPr>
          <w:rFonts w:hint="default"/>
          <w:lang w:val="en" w:eastAsia="zh-CN"/>
        </w:rPr>
      </w:pPr>
      <w:r>
        <w:rPr>
          <w:rFonts w:hint="default" w:ascii="Times New Roman" w:hAnsi="Times New Roman" w:eastAsia="仿宋_GB2312" w:cs="Times New Roman"/>
          <w:color w:val="auto"/>
          <w:sz w:val="32"/>
          <w:szCs w:val="32"/>
          <w:highlight w:val="none"/>
          <w:lang w:val="en" w:eastAsia="zh-CN"/>
        </w:rPr>
        <w:drawing>
          <wp:anchor distT="0" distB="0" distL="114300" distR="114300" simplePos="0" relativeHeight="251659264" behindDoc="0" locked="0" layoutInCell="1" allowOverlap="1">
            <wp:simplePos x="0" y="0"/>
            <wp:positionH relativeFrom="column">
              <wp:posOffset>635</wp:posOffset>
            </wp:positionH>
            <wp:positionV relativeFrom="paragraph">
              <wp:posOffset>-221615</wp:posOffset>
            </wp:positionV>
            <wp:extent cx="5543550" cy="8880475"/>
            <wp:effectExtent l="0" t="0" r="0" b="15875"/>
            <wp:wrapNone/>
            <wp:docPr id="2" name="图片 2" descr="2026年非道路禁行区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2026年非道路禁行区示意图"/>
                    <pic:cNvPicPr>
                      <a:picLocks noChangeAspect="true"/>
                    </pic:cNvPicPr>
                  </pic:nvPicPr>
                  <pic:blipFill>
                    <a:blip r:embed="rId5"/>
                    <a:stretch>
                      <a:fillRect/>
                    </a:stretch>
                  </pic:blipFill>
                  <pic:spPr>
                    <a:xfrm>
                      <a:off x="0" y="0"/>
                      <a:ext cx="5543550" cy="8880475"/>
                    </a:xfrm>
                    <a:prstGeom prst="rect">
                      <a:avLst/>
                    </a:prstGeom>
                    <a:noFill/>
                    <a:ln>
                      <a:noFill/>
                    </a:ln>
                  </pic:spPr>
                </pic:pic>
              </a:graphicData>
            </a:graphic>
          </wp:anchor>
        </w:drawing>
      </w:r>
    </w:p>
    <w:p>
      <w:pPr>
        <w:pStyle w:val="5"/>
        <w:keepNext w:val="0"/>
        <w:keepLines w:val="0"/>
        <w:pageBreakBefore w:val="0"/>
        <w:widowControl w:val="0"/>
        <w:kinsoku/>
        <w:wordWrap/>
        <w:overflowPunct w:val="0"/>
        <w:topLinePunct w:val="0"/>
        <w:bidi w:val="0"/>
        <w:spacing w:line="600" w:lineRule="exact"/>
        <w:ind w:left="0" w:leftChars="0"/>
        <w:textAlignment w:val="auto"/>
        <w:rPr>
          <w:rFonts w:hint="default"/>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center"/>
        <w:textAlignment w:val="auto"/>
        <w:rPr>
          <w:rFonts w:hint="default" w:ascii="Times New Roman" w:hAnsi="Times New Roman" w:eastAsia="仿宋_GB2312" w:cs="Times New Roman"/>
          <w:color w:val="auto"/>
          <w:sz w:val="32"/>
          <w:szCs w:val="32"/>
          <w:highlight w:val="none"/>
          <w:lang w:val="en" w:eastAsia="zh-CN"/>
        </w:rPr>
      </w:pPr>
    </w:p>
    <w:p>
      <w:pPr>
        <w:pStyle w:val="25"/>
        <w:keepNext w:val="0"/>
        <w:keepLines w:val="0"/>
        <w:pageBreakBefore w:val="0"/>
        <w:widowControl w:val="0"/>
        <w:kinsoku/>
        <w:wordWrap/>
        <w:overflowPunct w:val="0"/>
        <w:topLinePunct w:val="0"/>
        <w:bidi w:val="0"/>
        <w:spacing w:line="600" w:lineRule="exact"/>
        <w:ind w:left="0" w:leftChars="0"/>
        <w:jc w:val="both"/>
        <w:textAlignment w:val="auto"/>
        <w:rPr>
          <w:rFonts w:hint="default" w:ascii="Times New Roman" w:hAnsi="Times New Roman" w:eastAsia="仿宋_GB2312" w:cs="Times New Roman"/>
          <w:color w:val="auto"/>
          <w:sz w:val="32"/>
          <w:szCs w:val="32"/>
          <w:highlight w:val="none"/>
          <w:lang w:val="en" w:eastAsia="zh-CN"/>
        </w:rPr>
      </w:pPr>
    </w:p>
    <w:p>
      <w:pPr>
        <w:rPr>
          <w:rFonts w:hint="default"/>
          <w:lang w:val="en" w:eastAsia="zh-CN"/>
        </w:rPr>
      </w:pPr>
    </w:p>
    <w:p>
      <w:pPr>
        <w:pStyle w:val="25"/>
        <w:keepNext w:val="0"/>
        <w:keepLines w:val="0"/>
        <w:pageBreakBefore w:val="0"/>
        <w:widowControl w:val="0"/>
        <w:kinsoku/>
        <w:wordWrap/>
        <w:overflowPunct w:val="0"/>
        <w:topLinePunct w:val="0"/>
        <w:bidi w:val="0"/>
        <w:spacing w:line="600" w:lineRule="exact"/>
        <w:ind w:left="0" w:leftChars="0"/>
        <w:jc w:val="both"/>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 w:eastAsia="zh-CN"/>
        </w:rPr>
        <w:t xml:space="preserve">      </w:t>
      </w:r>
      <w:r>
        <w:rPr>
          <w:rFonts w:hint="default" w:ascii="Times New Roman" w:hAnsi="Times New Roman" w:eastAsia="仿宋_GB2312" w:cs="Times New Roman"/>
          <w:color w:val="auto"/>
          <w:sz w:val="32"/>
          <w:szCs w:val="32"/>
          <w:highlight w:val="none"/>
          <w:lang w:val="en-US" w:eastAsia="zh-CN"/>
        </w:rPr>
        <w:t xml:space="preserve">     </w:t>
      </w:r>
      <w:r>
        <w:rPr>
          <w:rFonts w:hint="eastAsia" w:asci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lang w:val="en-US" w:eastAsia="zh-CN"/>
        </w:rPr>
        <w:t xml:space="preserve">   </w:t>
      </w:r>
    </w:p>
    <w:sectPr>
      <w:footerReference r:id="rId3" w:type="default"/>
      <w:pgSz w:w="11906" w:h="16838"/>
      <w:pgMar w:top="1701" w:right="1587" w:bottom="1587" w:left="1587" w:header="851" w:footer="992" w:gutter="0"/>
      <w:pgNumType w:fmt="decimal" w:start="0"/>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monospace">
    <w:altName w:val="仿宋"/>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楷体">
    <w:panose1 w:val="02010609060101010101"/>
    <w:charset w:val="86"/>
    <w:family w:val="auto"/>
    <w:pitch w:val="default"/>
    <w:sig w:usb0="800002BF" w:usb1="38CF7CFA" w:usb2="00000016" w:usb3="00000000" w:csb0="00040001" w:csb1="00000000"/>
  </w:font>
  <w:font w:name="FreeSerif">
    <w:panose1 w:val="02020603050405020304"/>
    <w:charset w:val="00"/>
    <w:family w:val="auto"/>
    <w:pitch w:val="default"/>
    <w:sig w:usb0="E59FAFFF" w:usb1="C200FDFF" w:usb2="43501B29" w:usb3="04000043" w:csb0="6001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xZjI0NDcyY2NiMjZkZjkxNGJkYTQ1MjAyNjIyZTQifQ=="/>
  </w:docVars>
  <w:rsids>
    <w:rsidRoot w:val="1B4D6120"/>
    <w:rsid w:val="073145CA"/>
    <w:rsid w:val="09155C53"/>
    <w:rsid w:val="09BA5C05"/>
    <w:rsid w:val="0F034220"/>
    <w:rsid w:val="1444697A"/>
    <w:rsid w:val="15C4077B"/>
    <w:rsid w:val="18E92A80"/>
    <w:rsid w:val="1D084F95"/>
    <w:rsid w:val="1D213B51"/>
    <w:rsid w:val="1EE2241F"/>
    <w:rsid w:val="21182154"/>
    <w:rsid w:val="23FDB4A6"/>
    <w:rsid w:val="2EF53E99"/>
    <w:rsid w:val="2FDF18D4"/>
    <w:rsid w:val="312F4767"/>
    <w:rsid w:val="369279AB"/>
    <w:rsid w:val="36FD1FD9"/>
    <w:rsid w:val="3DC65A10"/>
    <w:rsid w:val="3E422FB2"/>
    <w:rsid w:val="3FFD232C"/>
    <w:rsid w:val="4C082C41"/>
    <w:rsid w:val="4ED79F53"/>
    <w:rsid w:val="4FFEADC2"/>
    <w:rsid w:val="58452E0B"/>
    <w:rsid w:val="5BFB20F5"/>
    <w:rsid w:val="5F3A1462"/>
    <w:rsid w:val="60906D21"/>
    <w:rsid w:val="646A5DEF"/>
    <w:rsid w:val="665534A3"/>
    <w:rsid w:val="6DEB4B35"/>
    <w:rsid w:val="6FFFFFB0"/>
    <w:rsid w:val="7377D46C"/>
    <w:rsid w:val="75696F7A"/>
    <w:rsid w:val="7BBB3653"/>
    <w:rsid w:val="7BFBA300"/>
    <w:rsid w:val="7BFF959E"/>
    <w:rsid w:val="7DFC50BC"/>
    <w:rsid w:val="7EB96DF7"/>
    <w:rsid w:val="7EF47A54"/>
    <w:rsid w:val="7EFC0EDC"/>
    <w:rsid w:val="7F7F0F7C"/>
    <w:rsid w:val="7FBF955C"/>
    <w:rsid w:val="7FD51733"/>
    <w:rsid w:val="7FF761D2"/>
    <w:rsid w:val="7FFD0945"/>
    <w:rsid w:val="7FFDE1EE"/>
    <w:rsid w:val="9335E59B"/>
    <w:rsid w:val="AF1F47B6"/>
    <w:rsid w:val="BBFE55D5"/>
    <w:rsid w:val="C7F35565"/>
    <w:rsid w:val="CEDE7CB4"/>
    <w:rsid w:val="DBA77B01"/>
    <w:rsid w:val="DDDCF1A1"/>
    <w:rsid w:val="DDFF2B38"/>
    <w:rsid w:val="DECD7357"/>
    <w:rsid w:val="EBF6CC9A"/>
    <w:rsid w:val="EEBFD833"/>
    <w:rsid w:val="EEFDE3B4"/>
    <w:rsid w:val="F6AD6E6D"/>
    <w:rsid w:val="F77F9C94"/>
    <w:rsid w:val="FBF35D89"/>
    <w:rsid w:val="FBF624E3"/>
    <w:rsid w:val="FD7B56EE"/>
    <w:rsid w:val="FDEF87BD"/>
    <w:rsid w:val="FDFB33C3"/>
    <w:rsid w:val="FF177810"/>
    <w:rsid w:val="FF79A153"/>
    <w:rsid w:val="FFEC7980"/>
    <w:rsid w:val="FFFDF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5">
    <w:name w:val="index 5"/>
    <w:basedOn w:val="1"/>
    <w:next w:val="1"/>
    <w:unhideWhenUsed/>
    <w:qFormat/>
    <w:uiPriority w:val="99"/>
    <w:pPr>
      <w:adjustRightInd w:val="0"/>
      <w:snapToGrid w:val="0"/>
      <w:spacing w:line="360" w:lineRule="auto"/>
      <w:ind w:left="1680" w:leftChars="0" w:firstLineChars="200"/>
    </w:pPr>
    <w:rPr>
      <w:rFonts w:ascii="Times New Roman" w:hAnsi="Times New Roman" w:eastAsia="仿宋_GB2312"/>
      <w:spacing w:val="0"/>
    </w:rPr>
  </w:style>
  <w:style w:type="paragraph" w:styleId="6">
    <w:name w:val="Body Text"/>
    <w:basedOn w:val="1"/>
    <w:next w:val="1"/>
    <w:qFormat/>
    <w:uiPriority w:val="0"/>
    <w:pPr>
      <w:widowControl w:val="0"/>
      <w:spacing w:after="120" w:line="620" w:lineRule="exact"/>
      <w:jc w:val="both"/>
    </w:pPr>
    <w:rPr>
      <w:rFonts w:ascii="Times New Roman" w:hAnsi="Times New Roman" w:eastAsia="仿宋_GB2312" w:cs="宋体"/>
      <w:kern w:val="2"/>
      <w:sz w:val="32"/>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0">
    <w:name w:val="Body Text First Indent"/>
    <w:basedOn w:val="6"/>
    <w:next w:val="1"/>
    <w:qFormat/>
    <w:uiPriority w:val="0"/>
    <w:pPr>
      <w:spacing w:before="40" w:after="40" w:line="240" w:lineRule="auto"/>
      <w:ind w:firstLine="420"/>
    </w:pPr>
    <w:rPr>
      <w:rFonts w:ascii="Calibri" w:hAnsi="Calibri" w:eastAsia="宋体" w:cs="Times New Roman"/>
      <w:b/>
      <w:bCs/>
      <w:sz w:val="21"/>
      <w:szCs w:val="24"/>
    </w:rPr>
  </w:style>
  <w:style w:type="character" w:styleId="13">
    <w:name w:val="Strong"/>
    <w:basedOn w:val="12"/>
    <w:qFormat/>
    <w:uiPriority w:val="0"/>
  </w:style>
  <w:style w:type="character" w:styleId="14">
    <w:name w:val="FollowedHyperlink"/>
    <w:basedOn w:val="12"/>
    <w:qFormat/>
    <w:uiPriority w:val="0"/>
    <w:rPr>
      <w:color w:val="0088CC"/>
      <w:u w:val="none"/>
    </w:rPr>
  </w:style>
  <w:style w:type="character" w:styleId="15">
    <w:name w:val="Emphasis"/>
    <w:basedOn w:val="12"/>
    <w:qFormat/>
    <w:uiPriority w:val="0"/>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88CC"/>
      <w:u w:val="non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customStyle="1" w:styleId="25">
    <w:name w:val="Default"/>
    <w:next w:val="5"/>
    <w:qFormat/>
    <w:uiPriority w:val="0"/>
    <w:pPr>
      <w:widowControl w:val="0"/>
      <w:autoSpaceDE w:val="0"/>
      <w:autoSpaceDN w:val="0"/>
      <w:adjustRightInd w:val="0"/>
    </w:pPr>
    <w:rPr>
      <w:rFonts w:ascii="宋体" w:hAnsi="Times New Roman" w:eastAsia="宋体" w:cs="Times New Roman"/>
      <w:color w:val="000000"/>
      <w:sz w:val="24"/>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2110</Words>
  <Characters>2240</Characters>
  <Lines>0</Lines>
  <Paragraphs>0</Paragraphs>
  <TotalTime>59</TotalTime>
  <ScaleCrop>false</ScaleCrop>
  <LinksUpToDate>false</LinksUpToDate>
  <CharactersWithSpaces>2351</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2022-05-30T16:01:00Z</dcterms:created>
  <dc:creator>。</dc:creator>
  <cp:lastModifiedBy>huanghe</cp:lastModifiedBy>
  <cp:lastPrinted>2026-02-06T09:36:00Z</cp:lastPrinted>
  <dcterms:modified xsi:type="dcterms:W3CDTF">2026-02-06T15:11:58Z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F0EE4BD4B98F32A1E13E85691111B50A_43</vt:lpwstr>
  </property>
  <property fmtid="{D5CDD505-2E9C-101B-9397-08002B2CF9AE}" pid="4" name="KSOTemplateDocerSaveRecord">
    <vt:lpwstr>eyJoZGlkIjoiZjUxODI5OGUzNTBiNzdkNjZiZDYwY2Y2MDllZThjMWUiLCJ1c2VySWQiOiIxNDg2NDg2OTE5In0=</vt:lpwstr>
  </property>
</Properties>
</file>