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40" w:lineRule="exact"/>
        <w:textAlignment w:val="auto"/>
        <w:outlineLvl w:val="9"/>
        <w:rPr>
          <w:rFonts w:hint="default" w:ascii="Times New Roman" w:hAnsi="Times New Roman" w:eastAsia="黑体" w:cs="Times New Roman"/>
          <w:sz w:val="32"/>
          <w:szCs w:val="32"/>
          <w:lang w:val="en-US" w:eastAsia="zh-CN"/>
        </w:rPr>
      </w:pPr>
      <w:bookmarkStart w:id="0" w:name="_Toc106957095"/>
      <w:r>
        <w:rPr>
          <w:rFonts w:hint="default" w:ascii="Times New Roman" w:hAnsi="Times New Roman" w:eastAsia="黑体" w:cs="Times New Roman"/>
          <w:sz w:val="32"/>
          <w:szCs w:val="32"/>
          <w:lang w:val="en-US" w:eastAsia="zh-CN"/>
        </w:rPr>
        <w:t>附件2</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40" w:lineRule="exact"/>
        <w:jc w:val="center"/>
        <w:textAlignment w:val="auto"/>
        <w:outlineLvl w:val="9"/>
        <w:rPr>
          <w:rFonts w:hint="default" w:ascii="Times New Roman" w:hAnsi="Times New Roman" w:eastAsia="方正小标宋简体" w:cs="Times New Roman"/>
          <w:sz w:val="36"/>
          <w:szCs w:val="36"/>
          <w:lang w:val="en-US" w:eastAsia="zh-CN"/>
        </w:rPr>
      </w:pP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jc w:val="center"/>
        <w:textAlignment w:val="auto"/>
        <w:outlineLvl w:val="9"/>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t>许昌市市本级集体农用地</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jc w:val="center"/>
        <w:textAlignment w:val="auto"/>
        <w:outlineLvl w:val="9"/>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t>基准地价内涵及成果表、地价图</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jc w:val="center"/>
        <w:textAlignment w:val="auto"/>
        <w:outlineLvl w:val="9"/>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b w:val="0"/>
          <w:bCs/>
          <w:i w:val="0"/>
          <w:caps w:val="0"/>
          <w:color w:val="auto"/>
          <w:spacing w:val="0"/>
          <w:sz w:val="44"/>
          <w:szCs w:val="44"/>
          <w:shd w:val="clear" w:color="auto" w:fill="FFFFFF"/>
        </w:rPr>
        <w:t>（征求意见稿）</w:t>
      </w:r>
      <w:bookmarkStart w:id="1" w:name="_GoBack"/>
      <w:bookmarkEnd w:id="1"/>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jc w:val="center"/>
        <w:textAlignment w:val="auto"/>
        <w:outlineLvl w:val="9"/>
        <w:rPr>
          <w:rFonts w:hint="default" w:ascii="Times New Roman" w:hAnsi="Times New Roman" w:eastAsia="方正小标宋简体" w:cs="Times New Roman"/>
          <w:sz w:val="36"/>
          <w:szCs w:val="36"/>
          <w:lang w:val="en-US" w:eastAsia="zh-CN"/>
        </w:rPr>
      </w:pPr>
    </w:p>
    <w:p>
      <w:pPr>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outlineLvl w:val="9"/>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rPr>
        <w:t>一、集体农用地基准地价内涵</w:t>
      </w:r>
      <w:bookmarkEnd w:id="0"/>
    </w:p>
    <w:p>
      <w:pPr>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 w:cs="Times New Roman"/>
          <w:sz w:val="32"/>
          <w:szCs w:val="32"/>
        </w:rPr>
        <w:t>（</w:t>
      </w:r>
      <w:r>
        <w:rPr>
          <w:rFonts w:hint="default" w:ascii="Times New Roman" w:hAnsi="Times New Roman" w:eastAsia="仿宋" w:cs="Times New Roman"/>
          <w:sz w:val="32"/>
          <w:szCs w:val="32"/>
          <w:lang w:val="en-US" w:eastAsia="zh-CN"/>
        </w:rPr>
        <w:t>一</w:t>
      </w:r>
      <w:r>
        <w:rPr>
          <w:rFonts w:hint="default" w:ascii="Times New Roman" w:hAnsi="Times New Roman" w:eastAsia="仿宋" w:cs="Times New Roman"/>
          <w:sz w:val="32"/>
          <w:szCs w:val="32"/>
        </w:rPr>
        <w:t>）</w:t>
      </w:r>
      <w:r>
        <w:rPr>
          <w:rFonts w:hint="default" w:ascii="Times New Roman" w:hAnsi="Times New Roman" w:eastAsia="仿宋_GB2312" w:cs="Times New Roman"/>
          <w:sz w:val="32"/>
          <w:szCs w:val="32"/>
        </w:rPr>
        <w:t>集体农用地基准地价是政府根据需要针对农用地不同级别或不同均质区域，按照不同用地类型，分别评估确定的某一估价期日的平均价格。因此需要对其基准地价内涵进行界定，一般要包括土地权利、土地权利年期、用地类型、耕作制度、农田基础设施状况、基准日等。</w:t>
      </w:r>
    </w:p>
    <w:p>
      <w:pPr>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①集体农用地基准地价是一种分级别、分用途的土地使用权平均价格，用地类型按照耕地、种植园用地、林地、设施农用地等用途区分，各用途均确定土地权利年限。</w:t>
      </w:r>
    </w:p>
    <w:p>
      <w:pPr>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②基准地价是在明确界定基础设施状况、耕作制度、交易年限等条件下的土地使用权平均价格。</w:t>
      </w:r>
    </w:p>
    <w:p>
      <w:pPr>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二</w:t>
      </w:r>
      <w:r>
        <w:rPr>
          <w:rFonts w:hint="default" w:ascii="Times New Roman" w:hAnsi="Times New Roman" w:eastAsia="仿宋_GB2312" w:cs="Times New Roman"/>
          <w:sz w:val="32"/>
          <w:szCs w:val="32"/>
        </w:rPr>
        <w:t>）许昌市市本级集体农用地基准地价内涵为：</w:t>
      </w:r>
    </w:p>
    <w:p>
      <w:pPr>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①土地权利类型:集体农用地承包经营权、经营权。</w:t>
      </w:r>
    </w:p>
    <w:p>
      <w:pPr>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②土地使用权年期：30年。</w:t>
      </w:r>
    </w:p>
    <w:p>
      <w:pPr>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③用地类型：耕地、种植园用地、林地、设施农用地。</w:t>
      </w:r>
    </w:p>
    <w:p>
      <w:pPr>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④标准耕作制度（使用方式）和标准作物：耕地为一年两熟、冬小麦-夏玉米；种植园用地为桃树；林地为杨树；设施农用地为生猪养殖。</w:t>
      </w:r>
    </w:p>
    <w:p>
      <w:pPr>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⑤基础设施状况：三通一平，即通路、通电、通水和土地平整。</w:t>
      </w:r>
    </w:p>
    <w:p>
      <w:pPr>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⑥估价期日为：2020年1月1日。</w:t>
      </w:r>
    </w:p>
    <w:p>
      <w:pPr>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outlineLvl w:val="9"/>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rPr>
        <w:t>二、集体农用地基准地价成果表</w:t>
      </w:r>
    </w:p>
    <w:p>
      <w:pPr>
        <w:spacing w:beforeLines="50" w:afterLines="50" w:line="240" w:lineRule="exact"/>
        <w:jc w:val="center"/>
        <w:rPr>
          <w:rFonts w:hint="default" w:ascii="Times New Roman" w:hAnsi="Times New Roman" w:cs="Times New Roman"/>
          <w:color w:val="FF0000"/>
          <w:sz w:val="24"/>
        </w:rPr>
      </w:pPr>
      <w:r>
        <w:rPr>
          <w:rFonts w:hint="default" w:ascii="Times New Roman" w:hAnsi="Times New Roman" w:cs="Times New Roman"/>
          <w:sz w:val="24"/>
        </w:rPr>
        <w:t>表1  许昌市市本级集体农用地基准地价成果表（经营权）</w:t>
      </w:r>
    </w:p>
    <w:tbl>
      <w:tblPr>
        <w:tblStyle w:val="6"/>
        <w:tblW w:w="5000" w:type="pct"/>
        <w:tblInd w:w="0" w:type="dxa"/>
        <w:tblLayout w:type="autofit"/>
        <w:tblCellMar>
          <w:top w:w="0" w:type="dxa"/>
          <w:left w:w="108" w:type="dxa"/>
          <w:bottom w:w="0" w:type="dxa"/>
          <w:right w:w="108" w:type="dxa"/>
        </w:tblCellMar>
      </w:tblPr>
      <w:tblGrid>
        <w:gridCol w:w="1861"/>
        <w:gridCol w:w="2950"/>
        <w:gridCol w:w="1237"/>
        <w:gridCol w:w="1237"/>
        <w:gridCol w:w="1237"/>
      </w:tblGrid>
      <w:tr>
        <w:trPr>
          <w:trHeight w:val="397" w:hRule="atLeast"/>
        </w:trPr>
        <w:tc>
          <w:tcPr>
            <w:tcW w:w="282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地类</w:t>
            </w:r>
          </w:p>
        </w:tc>
        <w:tc>
          <w:tcPr>
            <w:tcW w:w="72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一级地</w:t>
            </w:r>
          </w:p>
        </w:tc>
        <w:tc>
          <w:tcPr>
            <w:tcW w:w="72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二级地</w:t>
            </w:r>
          </w:p>
        </w:tc>
        <w:tc>
          <w:tcPr>
            <w:tcW w:w="72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三级地</w:t>
            </w:r>
          </w:p>
        </w:tc>
      </w:tr>
      <w:tr>
        <w:tblPrEx>
          <w:tblCellMar>
            <w:top w:w="0" w:type="dxa"/>
            <w:left w:w="108" w:type="dxa"/>
            <w:bottom w:w="0" w:type="dxa"/>
            <w:right w:w="108" w:type="dxa"/>
          </w:tblCellMar>
        </w:tblPrEx>
        <w:trPr>
          <w:trHeight w:val="397" w:hRule="atLeast"/>
        </w:trPr>
        <w:tc>
          <w:tcPr>
            <w:tcW w:w="1092" w:type="pct"/>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耕地</w:t>
            </w:r>
          </w:p>
        </w:tc>
        <w:tc>
          <w:tcPr>
            <w:tcW w:w="1731"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元/平方米</w:t>
            </w:r>
          </w:p>
        </w:tc>
        <w:tc>
          <w:tcPr>
            <w:tcW w:w="72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34</w:t>
            </w:r>
          </w:p>
        </w:tc>
        <w:tc>
          <w:tcPr>
            <w:tcW w:w="72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26</w:t>
            </w:r>
          </w:p>
        </w:tc>
        <w:tc>
          <w:tcPr>
            <w:tcW w:w="72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21</w:t>
            </w:r>
          </w:p>
        </w:tc>
      </w:tr>
      <w:tr>
        <w:tblPrEx>
          <w:tblCellMar>
            <w:top w:w="0" w:type="dxa"/>
            <w:left w:w="108" w:type="dxa"/>
            <w:bottom w:w="0" w:type="dxa"/>
            <w:right w:w="108" w:type="dxa"/>
          </w:tblCellMar>
        </w:tblPrEx>
        <w:trPr>
          <w:trHeight w:val="397" w:hRule="atLeast"/>
        </w:trPr>
        <w:tc>
          <w:tcPr>
            <w:tcW w:w="1092" w:type="pct"/>
            <w:vMerge w:val="continue"/>
            <w:tcBorders>
              <w:top w:val="nil"/>
              <w:left w:val="single" w:color="auto" w:sz="4" w:space="0"/>
              <w:bottom w:val="single" w:color="000000" w:sz="4" w:space="0"/>
              <w:right w:val="single" w:color="auto" w:sz="4" w:space="0"/>
            </w:tcBorders>
            <w:vAlign w:val="center"/>
          </w:tcPr>
          <w:p>
            <w:pPr>
              <w:widowControl/>
              <w:jc w:val="left"/>
              <w:rPr>
                <w:rFonts w:hint="default" w:ascii="Times New Roman" w:hAnsi="Times New Roman" w:cs="Times New Roman" w:eastAsiaTheme="minorEastAsia"/>
                <w:kern w:val="0"/>
                <w:szCs w:val="21"/>
              </w:rPr>
            </w:pPr>
          </w:p>
        </w:tc>
        <w:tc>
          <w:tcPr>
            <w:tcW w:w="1731"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万元/亩</w:t>
            </w:r>
          </w:p>
        </w:tc>
        <w:tc>
          <w:tcPr>
            <w:tcW w:w="72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 xml:space="preserve">2.27 </w:t>
            </w:r>
          </w:p>
        </w:tc>
        <w:tc>
          <w:tcPr>
            <w:tcW w:w="72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 xml:space="preserve">1.73 </w:t>
            </w:r>
          </w:p>
        </w:tc>
        <w:tc>
          <w:tcPr>
            <w:tcW w:w="72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 xml:space="preserve">1.40 </w:t>
            </w:r>
          </w:p>
        </w:tc>
      </w:tr>
      <w:tr>
        <w:trPr>
          <w:trHeight w:val="397" w:hRule="atLeast"/>
        </w:trPr>
        <w:tc>
          <w:tcPr>
            <w:tcW w:w="1092" w:type="pct"/>
            <w:vMerge w:val="continue"/>
            <w:tcBorders>
              <w:top w:val="nil"/>
              <w:left w:val="single" w:color="auto" w:sz="4" w:space="0"/>
              <w:bottom w:val="single" w:color="000000" w:sz="4" w:space="0"/>
              <w:right w:val="single" w:color="auto" w:sz="4" w:space="0"/>
            </w:tcBorders>
            <w:vAlign w:val="center"/>
          </w:tcPr>
          <w:p>
            <w:pPr>
              <w:widowControl/>
              <w:jc w:val="left"/>
              <w:rPr>
                <w:rFonts w:hint="default" w:ascii="Times New Roman" w:hAnsi="Times New Roman" w:cs="Times New Roman" w:eastAsiaTheme="minorEastAsia"/>
                <w:kern w:val="0"/>
                <w:szCs w:val="21"/>
              </w:rPr>
            </w:pPr>
          </w:p>
        </w:tc>
        <w:tc>
          <w:tcPr>
            <w:tcW w:w="1731"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变幅（元/平方米）</w:t>
            </w:r>
          </w:p>
        </w:tc>
        <w:tc>
          <w:tcPr>
            <w:tcW w:w="72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27—41</w:t>
            </w:r>
          </w:p>
        </w:tc>
        <w:tc>
          <w:tcPr>
            <w:tcW w:w="72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22—30</w:t>
            </w:r>
          </w:p>
        </w:tc>
        <w:tc>
          <w:tcPr>
            <w:tcW w:w="72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17—25</w:t>
            </w:r>
          </w:p>
        </w:tc>
      </w:tr>
      <w:tr>
        <w:trPr>
          <w:trHeight w:val="397" w:hRule="atLeast"/>
        </w:trPr>
        <w:tc>
          <w:tcPr>
            <w:tcW w:w="1092" w:type="pct"/>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林地</w:t>
            </w:r>
          </w:p>
        </w:tc>
        <w:tc>
          <w:tcPr>
            <w:tcW w:w="1731"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元/平方米</w:t>
            </w:r>
          </w:p>
        </w:tc>
        <w:tc>
          <w:tcPr>
            <w:tcW w:w="72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26</w:t>
            </w:r>
          </w:p>
        </w:tc>
        <w:tc>
          <w:tcPr>
            <w:tcW w:w="72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21</w:t>
            </w:r>
          </w:p>
        </w:tc>
        <w:tc>
          <w:tcPr>
            <w:tcW w:w="72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18</w:t>
            </w:r>
          </w:p>
        </w:tc>
      </w:tr>
      <w:tr>
        <w:tblPrEx>
          <w:tblCellMar>
            <w:top w:w="0" w:type="dxa"/>
            <w:left w:w="108" w:type="dxa"/>
            <w:bottom w:w="0" w:type="dxa"/>
            <w:right w:w="108" w:type="dxa"/>
          </w:tblCellMar>
        </w:tblPrEx>
        <w:trPr>
          <w:trHeight w:val="397" w:hRule="atLeast"/>
        </w:trPr>
        <w:tc>
          <w:tcPr>
            <w:tcW w:w="1092" w:type="pct"/>
            <w:vMerge w:val="continue"/>
            <w:tcBorders>
              <w:top w:val="nil"/>
              <w:left w:val="single" w:color="auto" w:sz="4" w:space="0"/>
              <w:bottom w:val="single" w:color="000000" w:sz="4" w:space="0"/>
              <w:right w:val="single" w:color="auto" w:sz="4" w:space="0"/>
            </w:tcBorders>
            <w:vAlign w:val="center"/>
          </w:tcPr>
          <w:p>
            <w:pPr>
              <w:widowControl/>
              <w:jc w:val="left"/>
              <w:rPr>
                <w:rFonts w:hint="default" w:ascii="Times New Roman" w:hAnsi="Times New Roman" w:cs="Times New Roman" w:eastAsiaTheme="minorEastAsia"/>
                <w:kern w:val="0"/>
                <w:szCs w:val="21"/>
              </w:rPr>
            </w:pPr>
          </w:p>
        </w:tc>
        <w:tc>
          <w:tcPr>
            <w:tcW w:w="1731"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万元/亩</w:t>
            </w:r>
          </w:p>
        </w:tc>
        <w:tc>
          <w:tcPr>
            <w:tcW w:w="72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 xml:space="preserve">1.73 </w:t>
            </w:r>
          </w:p>
        </w:tc>
        <w:tc>
          <w:tcPr>
            <w:tcW w:w="72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 xml:space="preserve">1.40 </w:t>
            </w:r>
          </w:p>
        </w:tc>
        <w:tc>
          <w:tcPr>
            <w:tcW w:w="72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 xml:space="preserve">1.20 </w:t>
            </w:r>
          </w:p>
        </w:tc>
      </w:tr>
      <w:tr>
        <w:tblPrEx>
          <w:tblCellMar>
            <w:top w:w="0" w:type="dxa"/>
            <w:left w:w="108" w:type="dxa"/>
            <w:bottom w:w="0" w:type="dxa"/>
            <w:right w:w="108" w:type="dxa"/>
          </w:tblCellMar>
        </w:tblPrEx>
        <w:trPr>
          <w:trHeight w:val="397" w:hRule="atLeast"/>
        </w:trPr>
        <w:tc>
          <w:tcPr>
            <w:tcW w:w="1092" w:type="pct"/>
            <w:vMerge w:val="continue"/>
            <w:tcBorders>
              <w:top w:val="nil"/>
              <w:left w:val="single" w:color="auto" w:sz="4" w:space="0"/>
              <w:bottom w:val="single" w:color="000000" w:sz="4" w:space="0"/>
              <w:right w:val="single" w:color="auto" w:sz="4" w:space="0"/>
            </w:tcBorders>
            <w:vAlign w:val="center"/>
          </w:tcPr>
          <w:p>
            <w:pPr>
              <w:widowControl/>
              <w:jc w:val="left"/>
              <w:rPr>
                <w:rFonts w:hint="default" w:ascii="Times New Roman" w:hAnsi="Times New Roman" w:cs="Times New Roman" w:eastAsiaTheme="minorEastAsia"/>
                <w:kern w:val="0"/>
                <w:szCs w:val="21"/>
              </w:rPr>
            </w:pPr>
          </w:p>
        </w:tc>
        <w:tc>
          <w:tcPr>
            <w:tcW w:w="1731"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变幅（元/平方米）</w:t>
            </w:r>
          </w:p>
        </w:tc>
        <w:tc>
          <w:tcPr>
            <w:tcW w:w="72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22—30</w:t>
            </w:r>
          </w:p>
        </w:tc>
        <w:tc>
          <w:tcPr>
            <w:tcW w:w="72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19—23</w:t>
            </w:r>
          </w:p>
        </w:tc>
        <w:tc>
          <w:tcPr>
            <w:tcW w:w="72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16—20</w:t>
            </w:r>
          </w:p>
        </w:tc>
      </w:tr>
      <w:tr>
        <w:trPr>
          <w:trHeight w:val="397" w:hRule="atLeast"/>
        </w:trPr>
        <w:tc>
          <w:tcPr>
            <w:tcW w:w="1092" w:type="pct"/>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种植园用地</w:t>
            </w:r>
          </w:p>
        </w:tc>
        <w:tc>
          <w:tcPr>
            <w:tcW w:w="1731"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元/平方米</w:t>
            </w:r>
          </w:p>
        </w:tc>
        <w:tc>
          <w:tcPr>
            <w:tcW w:w="72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46</w:t>
            </w:r>
          </w:p>
        </w:tc>
        <w:tc>
          <w:tcPr>
            <w:tcW w:w="72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37</w:t>
            </w:r>
          </w:p>
        </w:tc>
        <w:tc>
          <w:tcPr>
            <w:tcW w:w="72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31</w:t>
            </w:r>
          </w:p>
        </w:tc>
      </w:tr>
      <w:tr>
        <w:trPr>
          <w:trHeight w:val="397" w:hRule="atLeast"/>
        </w:trPr>
        <w:tc>
          <w:tcPr>
            <w:tcW w:w="1092" w:type="pct"/>
            <w:vMerge w:val="continue"/>
            <w:tcBorders>
              <w:top w:val="nil"/>
              <w:left w:val="single" w:color="auto" w:sz="4" w:space="0"/>
              <w:bottom w:val="single" w:color="000000" w:sz="4" w:space="0"/>
              <w:right w:val="single" w:color="auto" w:sz="4" w:space="0"/>
            </w:tcBorders>
            <w:vAlign w:val="center"/>
          </w:tcPr>
          <w:p>
            <w:pPr>
              <w:widowControl/>
              <w:jc w:val="left"/>
              <w:rPr>
                <w:rFonts w:hint="default" w:ascii="Times New Roman" w:hAnsi="Times New Roman" w:cs="Times New Roman" w:eastAsiaTheme="minorEastAsia"/>
                <w:kern w:val="0"/>
                <w:szCs w:val="21"/>
              </w:rPr>
            </w:pPr>
          </w:p>
        </w:tc>
        <w:tc>
          <w:tcPr>
            <w:tcW w:w="1731"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万元/亩</w:t>
            </w:r>
          </w:p>
        </w:tc>
        <w:tc>
          <w:tcPr>
            <w:tcW w:w="72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 xml:space="preserve">3.07 </w:t>
            </w:r>
          </w:p>
        </w:tc>
        <w:tc>
          <w:tcPr>
            <w:tcW w:w="72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 xml:space="preserve">2.47 </w:t>
            </w:r>
          </w:p>
        </w:tc>
        <w:tc>
          <w:tcPr>
            <w:tcW w:w="72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 xml:space="preserve">2.07 </w:t>
            </w:r>
          </w:p>
        </w:tc>
      </w:tr>
      <w:tr>
        <w:tblPrEx>
          <w:tblCellMar>
            <w:top w:w="0" w:type="dxa"/>
            <w:left w:w="108" w:type="dxa"/>
            <w:bottom w:w="0" w:type="dxa"/>
            <w:right w:w="108" w:type="dxa"/>
          </w:tblCellMar>
        </w:tblPrEx>
        <w:trPr>
          <w:trHeight w:val="397" w:hRule="atLeast"/>
        </w:trPr>
        <w:tc>
          <w:tcPr>
            <w:tcW w:w="1092" w:type="pct"/>
            <w:vMerge w:val="continue"/>
            <w:tcBorders>
              <w:top w:val="nil"/>
              <w:left w:val="single" w:color="auto" w:sz="4" w:space="0"/>
              <w:bottom w:val="single" w:color="000000" w:sz="4" w:space="0"/>
              <w:right w:val="single" w:color="auto" w:sz="4" w:space="0"/>
            </w:tcBorders>
            <w:vAlign w:val="center"/>
          </w:tcPr>
          <w:p>
            <w:pPr>
              <w:widowControl/>
              <w:jc w:val="left"/>
              <w:rPr>
                <w:rFonts w:hint="default" w:ascii="Times New Roman" w:hAnsi="Times New Roman" w:cs="Times New Roman" w:eastAsiaTheme="minorEastAsia"/>
                <w:kern w:val="0"/>
                <w:szCs w:val="21"/>
              </w:rPr>
            </w:pPr>
          </w:p>
        </w:tc>
        <w:tc>
          <w:tcPr>
            <w:tcW w:w="1731"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变幅（元/平方米）</w:t>
            </w:r>
          </w:p>
        </w:tc>
        <w:tc>
          <w:tcPr>
            <w:tcW w:w="72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38—54</w:t>
            </w:r>
          </w:p>
        </w:tc>
        <w:tc>
          <w:tcPr>
            <w:tcW w:w="72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32—42</w:t>
            </w:r>
          </w:p>
        </w:tc>
        <w:tc>
          <w:tcPr>
            <w:tcW w:w="72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26—36</w:t>
            </w:r>
          </w:p>
        </w:tc>
      </w:tr>
      <w:tr>
        <w:tblPrEx>
          <w:tblCellMar>
            <w:top w:w="0" w:type="dxa"/>
            <w:left w:w="108" w:type="dxa"/>
            <w:bottom w:w="0" w:type="dxa"/>
            <w:right w:w="108" w:type="dxa"/>
          </w:tblCellMar>
        </w:tblPrEx>
        <w:trPr>
          <w:trHeight w:val="397" w:hRule="atLeast"/>
        </w:trPr>
        <w:tc>
          <w:tcPr>
            <w:tcW w:w="1092" w:type="pct"/>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设施农用地</w:t>
            </w:r>
          </w:p>
        </w:tc>
        <w:tc>
          <w:tcPr>
            <w:tcW w:w="1731"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元/平方米</w:t>
            </w:r>
          </w:p>
        </w:tc>
        <w:tc>
          <w:tcPr>
            <w:tcW w:w="72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63</w:t>
            </w:r>
          </w:p>
        </w:tc>
        <w:tc>
          <w:tcPr>
            <w:tcW w:w="72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49</w:t>
            </w:r>
          </w:p>
        </w:tc>
        <w:tc>
          <w:tcPr>
            <w:tcW w:w="72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39</w:t>
            </w:r>
          </w:p>
        </w:tc>
      </w:tr>
      <w:tr>
        <w:trPr>
          <w:trHeight w:val="397" w:hRule="atLeast"/>
        </w:trPr>
        <w:tc>
          <w:tcPr>
            <w:tcW w:w="1092" w:type="pct"/>
            <w:vMerge w:val="continue"/>
            <w:tcBorders>
              <w:top w:val="nil"/>
              <w:left w:val="single" w:color="auto" w:sz="4" w:space="0"/>
              <w:bottom w:val="single" w:color="000000" w:sz="4" w:space="0"/>
              <w:right w:val="single" w:color="auto" w:sz="4" w:space="0"/>
            </w:tcBorders>
            <w:vAlign w:val="center"/>
          </w:tcPr>
          <w:p>
            <w:pPr>
              <w:widowControl/>
              <w:jc w:val="left"/>
              <w:rPr>
                <w:rFonts w:hint="default" w:ascii="Times New Roman" w:hAnsi="Times New Roman" w:cs="Times New Roman" w:eastAsiaTheme="minorEastAsia"/>
                <w:kern w:val="0"/>
                <w:szCs w:val="21"/>
              </w:rPr>
            </w:pPr>
          </w:p>
        </w:tc>
        <w:tc>
          <w:tcPr>
            <w:tcW w:w="1731"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万元/亩</w:t>
            </w:r>
          </w:p>
        </w:tc>
        <w:tc>
          <w:tcPr>
            <w:tcW w:w="72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 xml:space="preserve">4.20 </w:t>
            </w:r>
          </w:p>
        </w:tc>
        <w:tc>
          <w:tcPr>
            <w:tcW w:w="72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 xml:space="preserve">3.27 </w:t>
            </w:r>
          </w:p>
        </w:tc>
        <w:tc>
          <w:tcPr>
            <w:tcW w:w="72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 xml:space="preserve">2.60 </w:t>
            </w:r>
          </w:p>
        </w:tc>
      </w:tr>
      <w:tr>
        <w:trPr>
          <w:trHeight w:val="397" w:hRule="atLeast"/>
        </w:trPr>
        <w:tc>
          <w:tcPr>
            <w:tcW w:w="1092" w:type="pct"/>
            <w:vMerge w:val="continue"/>
            <w:tcBorders>
              <w:top w:val="nil"/>
              <w:left w:val="single" w:color="auto" w:sz="4" w:space="0"/>
              <w:bottom w:val="single" w:color="000000" w:sz="4" w:space="0"/>
              <w:right w:val="single" w:color="auto" w:sz="4" w:space="0"/>
            </w:tcBorders>
            <w:vAlign w:val="center"/>
          </w:tcPr>
          <w:p>
            <w:pPr>
              <w:widowControl/>
              <w:jc w:val="left"/>
              <w:rPr>
                <w:rFonts w:hint="default" w:ascii="Times New Roman" w:hAnsi="Times New Roman" w:cs="Times New Roman" w:eastAsiaTheme="minorEastAsia"/>
                <w:kern w:val="0"/>
                <w:szCs w:val="21"/>
              </w:rPr>
            </w:pPr>
          </w:p>
        </w:tc>
        <w:tc>
          <w:tcPr>
            <w:tcW w:w="1731"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变幅（元/平方米）</w:t>
            </w:r>
          </w:p>
        </w:tc>
        <w:tc>
          <w:tcPr>
            <w:tcW w:w="72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50—76</w:t>
            </w:r>
          </w:p>
        </w:tc>
        <w:tc>
          <w:tcPr>
            <w:tcW w:w="72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40—58</w:t>
            </w:r>
          </w:p>
        </w:tc>
        <w:tc>
          <w:tcPr>
            <w:tcW w:w="726"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31—47</w:t>
            </w:r>
          </w:p>
        </w:tc>
      </w:tr>
    </w:tbl>
    <w:p>
      <w:pPr>
        <w:spacing w:beforeLines="50" w:afterLines="50" w:line="240" w:lineRule="exact"/>
        <w:jc w:val="center"/>
        <w:rPr>
          <w:rFonts w:hint="default" w:ascii="Times New Roman" w:hAnsi="Times New Roman" w:cs="Times New Roman"/>
          <w:color w:val="FF0000"/>
          <w:sz w:val="24"/>
        </w:rPr>
      </w:pPr>
    </w:p>
    <w:p>
      <w:pPr>
        <w:spacing w:beforeLines="50" w:afterLines="50" w:line="240" w:lineRule="exact"/>
        <w:jc w:val="center"/>
        <w:rPr>
          <w:rFonts w:hint="default" w:ascii="Times New Roman" w:hAnsi="Times New Roman" w:cs="Times New Roman"/>
          <w:color w:val="FF0000"/>
          <w:sz w:val="24"/>
        </w:rPr>
      </w:pPr>
      <w:r>
        <w:rPr>
          <w:rFonts w:hint="default" w:ascii="Times New Roman" w:hAnsi="Times New Roman" w:cs="Times New Roman"/>
          <w:sz w:val="24"/>
        </w:rPr>
        <w:t>表2  许昌市市本级集体农用地基准地价成果表（承包经营权）</w:t>
      </w:r>
    </w:p>
    <w:tbl>
      <w:tblPr>
        <w:tblStyle w:val="6"/>
        <w:tblW w:w="5000" w:type="pct"/>
        <w:tblInd w:w="0" w:type="dxa"/>
        <w:tblLayout w:type="autofit"/>
        <w:tblCellMar>
          <w:top w:w="0" w:type="dxa"/>
          <w:left w:w="108" w:type="dxa"/>
          <w:bottom w:w="0" w:type="dxa"/>
          <w:right w:w="108" w:type="dxa"/>
        </w:tblCellMar>
      </w:tblPr>
      <w:tblGrid>
        <w:gridCol w:w="1857"/>
        <w:gridCol w:w="2938"/>
        <w:gridCol w:w="1243"/>
        <w:gridCol w:w="1243"/>
        <w:gridCol w:w="1241"/>
      </w:tblGrid>
      <w:tr>
        <w:tblPrEx>
          <w:tblCellMar>
            <w:top w:w="0" w:type="dxa"/>
            <w:left w:w="108" w:type="dxa"/>
            <w:bottom w:w="0" w:type="dxa"/>
            <w:right w:w="108" w:type="dxa"/>
          </w:tblCellMar>
        </w:tblPrEx>
        <w:trPr>
          <w:trHeight w:val="397" w:hRule="atLeast"/>
        </w:trPr>
        <w:tc>
          <w:tcPr>
            <w:tcW w:w="281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地类</w:t>
            </w:r>
          </w:p>
        </w:tc>
        <w:tc>
          <w:tcPr>
            <w:tcW w:w="72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一级地</w:t>
            </w:r>
          </w:p>
        </w:tc>
        <w:tc>
          <w:tcPr>
            <w:tcW w:w="72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二级地</w:t>
            </w:r>
          </w:p>
        </w:tc>
        <w:tc>
          <w:tcPr>
            <w:tcW w:w="728"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三级地</w:t>
            </w:r>
          </w:p>
        </w:tc>
      </w:tr>
      <w:tr>
        <w:tblPrEx>
          <w:tblCellMar>
            <w:top w:w="0" w:type="dxa"/>
            <w:left w:w="108" w:type="dxa"/>
            <w:bottom w:w="0" w:type="dxa"/>
            <w:right w:w="108" w:type="dxa"/>
          </w:tblCellMar>
        </w:tblPrEx>
        <w:trPr>
          <w:trHeight w:val="397" w:hRule="atLeast"/>
        </w:trPr>
        <w:tc>
          <w:tcPr>
            <w:tcW w:w="1090" w:type="pct"/>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耕地</w:t>
            </w:r>
          </w:p>
        </w:tc>
        <w:tc>
          <w:tcPr>
            <w:tcW w:w="1724"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元/平方米</w:t>
            </w:r>
          </w:p>
        </w:tc>
        <w:tc>
          <w:tcPr>
            <w:tcW w:w="729"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46</w:t>
            </w:r>
          </w:p>
        </w:tc>
        <w:tc>
          <w:tcPr>
            <w:tcW w:w="729"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35</w:t>
            </w:r>
          </w:p>
        </w:tc>
        <w:tc>
          <w:tcPr>
            <w:tcW w:w="728"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28</w:t>
            </w:r>
          </w:p>
        </w:tc>
      </w:tr>
      <w:tr>
        <w:tblPrEx>
          <w:tblCellMar>
            <w:top w:w="0" w:type="dxa"/>
            <w:left w:w="108" w:type="dxa"/>
            <w:bottom w:w="0" w:type="dxa"/>
            <w:right w:w="108" w:type="dxa"/>
          </w:tblCellMar>
        </w:tblPrEx>
        <w:trPr>
          <w:trHeight w:val="397" w:hRule="atLeast"/>
        </w:trPr>
        <w:tc>
          <w:tcPr>
            <w:tcW w:w="1090" w:type="pct"/>
            <w:vMerge w:val="continue"/>
            <w:tcBorders>
              <w:top w:val="nil"/>
              <w:left w:val="single" w:color="auto" w:sz="4" w:space="0"/>
              <w:bottom w:val="single" w:color="000000" w:sz="4" w:space="0"/>
              <w:right w:val="single" w:color="auto" w:sz="4" w:space="0"/>
            </w:tcBorders>
            <w:vAlign w:val="center"/>
          </w:tcPr>
          <w:p>
            <w:pPr>
              <w:widowControl/>
              <w:jc w:val="left"/>
              <w:rPr>
                <w:rFonts w:hint="default" w:ascii="Times New Roman" w:hAnsi="Times New Roman" w:cs="Times New Roman" w:eastAsiaTheme="minorEastAsia"/>
                <w:kern w:val="0"/>
                <w:szCs w:val="21"/>
              </w:rPr>
            </w:pPr>
          </w:p>
        </w:tc>
        <w:tc>
          <w:tcPr>
            <w:tcW w:w="1724"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万元/亩</w:t>
            </w:r>
          </w:p>
        </w:tc>
        <w:tc>
          <w:tcPr>
            <w:tcW w:w="729"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 xml:space="preserve">3.07 </w:t>
            </w:r>
          </w:p>
        </w:tc>
        <w:tc>
          <w:tcPr>
            <w:tcW w:w="729"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 xml:space="preserve">2.33 </w:t>
            </w:r>
          </w:p>
        </w:tc>
        <w:tc>
          <w:tcPr>
            <w:tcW w:w="728"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 xml:space="preserve">1.87 </w:t>
            </w:r>
          </w:p>
        </w:tc>
      </w:tr>
      <w:tr>
        <w:tblPrEx>
          <w:tblCellMar>
            <w:top w:w="0" w:type="dxa"/>
            <w:left w:w="108" w:type="dxa"/>
            <w:bottom w:w="0" w:type="dxa"/>
            <w:right w:w="108" w:type="dxa"/>
          </w:tblCellMar>
        </w:tblPrEx>
        <w:trPr>
          <w:trHeight w:val="397" w:hRule="atLeast"/>
        </w:trPr>
        <w:tc>
          <w:tcPr>
            <w:tcW w:w="1090" w:type="pct"/>
            <w:vMerge w:val="continue"/>
            <w:tcBorders>
              <w:top w:val="nil"/>
              <w:left w:val="single" w:color="auto" w:sz="4" w:space="0"/>
              <w:bottom w:val="single" w:color="000000" w:sz="4" w:space="0"/>
              <w:right w:val="single" w:color="auto" w:sz="4" w:space="0"/>
            </w:tcBorders>
            <w:vAlign w:val="center"/>
          </w:tcPr>
          <w:p>
            <w:pPr>
              <w:widowControl/>
              <w:jc w:val="left"/>
              <w:rPr>
                <w:rFonts w:hint="default" w:ascii="Times New Roman" w:hAnsi="Times New Roman" w:cs="Times New Roman" w:eastAsiaTheme="minorEastAsia"/>
                <w:kern w:val="0"/>
                <w:szCs w:val="21"/>
              </w:rPr>
            </w:pPr>
          </w:p>
        </w:tc>
        <w:tc>
          <w:tcPr>
            <w:tcW w:w="1724"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变幅（元/平方米）</w:t>
            </w:r>
          </w:p>
        </w:tc>
        <w:tc>
          <w:tcPr>
            <w:tcW w:w="729"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38—54</w:t>
            </w:r>
          </w:p>
        </w:tc>
        <w:tc>
          <w:tcPr>
            <w:tcW w:w="729"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29—41</w:t>
            </w:r>
          </w:p>
        </w:tc>
        <w:tc>
          <w:tcPr>
            <w:tcW w:w="728"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23—33</w:t>
            </w:r>
          </w:p>
        </w:tc>
      </w:tr>
      <w:tr>
        <w:tblPrEx>
          <w:tblCellMar>
            <w:top w:w="0" w:type="dxa"/>
            <w:left w:w="108" w:type="dxa"/>
            <w:bottom w:w="0" w:type="dxa"/>
            <w:right w:w="108" w:type="dxa"/>
          </w:tblCellMar>
        </w:tblPrEx>
        <w:trPr>
          <w:trHeight w:val="397" w:hRule="atLeast"/>
        </w:trPr>
        <w:tc>
          <w:tcPr>
            <w:tcW w:w="1090" w:type="pct"/>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林地</w:t>
            </w:r>
          </w:p>
        </w:tc>
        <w:tc>
          <w:tcPr>
            <w:tcW w:w="1724"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元/平方米</w:t>
            </w:r>
          </w:p>
        </w:tc>
        <w:tc>
          <w:tcPr>
            <w:tcW w:w="729"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34</w:t>
            </w:r>
          </w:p>
        </w:tc>
        <w:tc>
          <w:tcPr>
            <w:tcW w:w="729"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26</w:t>
            </w:r>
          </w:p>
        </w:tc>
        <w:tc>
          <w:tcPr>
            <w:tcW w:w="728"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20</w:t>
            </w:r>
          </w:p>
        </w:tc>
      </w:tr>
      <w:tr>
        <w:tblPrEx>
          <w:tblCellMar>
            <w:top w:w="0" w:type="dxa"/>
            <w:left w:w="108" w:type="dxa"/>
            <w:bottom w:w="0" w:type="dxa"/>
            <w:right w:w="108" w:type="dxa"/>
          </w:tblCellMar>
        </w:tblPrEx>
        <w:trPr>
          <w:trHeight w:val="397" w:hRule="atLeast"/>
        </w:trPr>
        <w:tc>
          <w:tcPr>
            <w:tcW w:w="1090" w:type="pct"/>
            <w:vMerge w:val="continue"/>
            <w:tcBorders>
              <w:top w:val="nil"/>
              <w:left w:val="single" w:color="auto" w:sz="4" w:space="0"/>
              <w:bottom w:val="single" w:color="000000" w:sz="4" w:space="0"/>
              <w:right w:val="single" w:color="auto" w:sz="4" w:space="0"/>
            </w:tcBorders>
            <w:vAlign w:val="center"/>
          </w:tcPr>
          <w:p>
            <w:pPr>
              <w:widowControl/>
              <w:jc w:val="left"/>
              <w:rPr>
                <w:rFonts w:hint="default" w:ascii="Times New Roman" w:hAnsi="Times New Roman" w:cs="Times New Roman" w:eastAsiaTheme="minorEastAsia"/>
                <w:kern w:val="0"/>
                <w:szCs w:val="21"/>
              </w:rPr>
            </w:pPr>
          </w:p>
        </w:tc>
        <w:tc>
          <w:tcPr>
            <w:tcW w:w="1724"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万元/亩</w:t>
            </w:r>
          </w:p>
        </w:tc>
        <w:tc>
          <w:tcPr>
            <w:tcW w:w="729"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 xml:space="preserve">2.27 </w:t>
            </w:r>
          </w:p>
        </w:tc>
        <w:tc>
          <w:tcPr>
            <w:tcW w:w="729"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 xml:space="preserve">1.73 </w:t>
            </w:r>
          </w:p>
        </w:tc>
        <w:tc>
          <w:tcPr>
            <w:tcW w:w="728"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 xml:space="preserve">1.33 </w:t>
            </w:r>
          </w:p>
        </w:tc>
      </w:tr>
      <w:tr>
        <w:tblPrEx>
          <w:tblCellMar>
            <w:top w:w="0" w:type="dxa"/>
            <w:left w:w="108" w:type="dxa"/>
            <w:bottom w:w="0" w:type="dxa"/>
            <w:right w:w="108" w:type="dxa"/>
          </w:tblCellMar>
        </w:tblPrEx>
        <w:trPr>
          <w:trHeight w:val="397" w:hRule="atLeast"/>
        </w:trPr>
        <w:tc>
          <w:tcPr>
            <w:tcW w:w="1090" w:type="pct"/>
            <w:vMerge w:val="continue"/>
            <w:tcBorders>
              <w:top w:val="nil"/>
              <w:left w:val="single" w:color="auto" w:sz="4" w:space="0"/>
              <w:bottom w:val="single" w:color="000000" w:sz="4" w:space="0"/>
              <w:right w:val="single" w:color="auto" w:sz="4" w:space="0"/>
            </w:tcBorders>
            <w:vAlign w:val="center"/>
          </w:tcPr>
          <w:p>
            <w:pPr>
              <w:widowControl/>
              <w:jc w:val="left"/>
              <w:rPr>
                <w:rFonts w:hint="default" w:ascii="Times New Roman" w:hAnsi="Times New Roman" w:cs="Times New Roman" w:eastAsiaTheme="minorEastAsia"/>
                <w:kern w:val="0"/>
                <w:szCs w:val="21"/>
              </w:rPr>
            </w:pPr>
          </w:p>
        </w:tc>
        <w:tc>
          <w:tcPr>
            <w:tcW w:w="1724"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变幅（元/平方米）</w:t>
            </w:r>
          </w:p>
        </w:tc>
        <w:tc>
          <w:tcPr>
            <w:tcW w:w="729"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28—40</w:t>
            </w:r>
          </w:p>
        </w:tc>
        <w:tc>
          <w:tcPr>
            <w:tcW w:w="729"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23—31</w:t>
            </w:r>
          </w:p>
        </w:tc>
        <w:tc>
          <w:tcPr>
            <w:tcW w:w="728"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18—25</w:t>
            </w:r>
          </w:p>
        </w:tc>
      </w:tr>
      <w:tr>
        <w:tblPrEx>
          <w:tblCellMar>
            <w:top w:w="0" w:type="dxa"/>
            <w:left w:w="108" w:type="dxa"/>
            <w:bottom w:w="0" w:type="dxa"/>
            <w:right w:w="108" w:type="dxa"/>
          </w:tblCellMar>
        </w:tblPrEx>
        <w:trPr>
          <w:trHeight w:val="397" w:hRule="atLeast"/>
        </w:trPr>
        <w:tc>
          <w:tcPr>
            <w:tcW w:w="1090" w:type="pct"/>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种植园用地</w:t>
            </w:r>
          </w:p>
        </w:tc>
        <w:tc>
          <w:tcPr>
            <w:tcW w:w="1724"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元/平方米</w:t>
            </w:r>
          </w:p>
        </w:tc>
        <w:tc>
          <w:tcPr>
            <w:tcW w:w="729"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59</w:t>
            </w:r>
          </w:p>
        </w:tc>
        <w:tc>
          <w:tcPr>
            <w:tcW w:w="729"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47</w:t>
            </w:r>
          </w:p>
        </w:tc>
        <w:tc>
          <w:tcPr>
            <w:tcW w:w="728"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38</w:t>
            </w:r>
          </w:p>
        </w:tc>
      </w:tr>
      <w:tr>
        <w:tblPrEx>
          <w:tblCellMar>
            <w:top w:w="0" w:type="dxa"/>
            <w:left w:w="108" w:type="dxa"/>
            <w:bottom w:w="0" w:type="dxa"/>
            <w:right w:w="108" w:type="dxa"/>
          </w:tblCellMar>
        </w:tblPrEx>
        <w:trPr>
          <w:trHeight w:val="397" w:hRule="atLeast"/>
        </w:trPr>
        <w:tc>
          <w:tcPr>
            <w:tcW w:w="1090" w:type="pct"/>
            <w:vMerge w:val="continue"/>
            <w:tcBorders>
              <w:top w:val="nil"/>
              <w:left w:val="single" w:color="auto" w:sz="4" w:space="0"/>
              <w:bottom w:val="single" w:color="000000" w:sz="4" w:space="0"/>
              <w:right w:val="single" w:color="auto" w:sz="4" w:space="0"/>
            </w:tcBorders>
            <w:vAlign w:val="center"/>
          </w:tcPr>
          <w:p>
            <w:pPr>
              <w:widowControl/>
              <w:jc w:val="left"/>
              <w:rPr>
                <w:rFonts w:hint="default" w:ascii="Times New Roman" w:hAnsi="Times New Roman" w:cs="Times New Roman" w:eastAsiaTheme="minorEastAsia"/>
                <w:kern w:val="0"/>
                <w:szCs w:val="21"/>
              </w:rPr>
            </w:pPr>
          </w:p>
        </w:tc>
        <w:tc>
          <w:tcPr>
            <w:tcW w:w="1724"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万元/亩</w:t>
            </w:r>
          </w:p>
        </w:tc>
        <w:tc>
          <w:tcPr>
            <w:tcW w:w="729"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 xml:space="preserve">3.93 </w:t>
            </w:r>
          </w:p>
        </w:tc>
        <w:tc>
          <w:tcPr>
            <w:tcW w:w="729"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 xml:space="preserve">3.13 </w:t>
            </w:r>
          </w:p>
        </w:tc>
        <w:tc>
          <w:tcPr>
            <w:tcW w:w="728"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 xml:space="preserve">2.53 </w:t>
            </w:r>
          </w:p>
        </w:tc>
      </w:tr>
      <w:tr>
        <w:tblPrEx>
          <w:tblCellMar>
            <w:top w:w="0" w:type="dxa"/>
            <w:left w:w="108" w:type="dxa"/>
            <w:bottom w:w="0" w:type="dxa"/>
            <w:right w:w="108" w:type="dxa"/>
          </w:tblCellMar>
        </w:tblPrEx>
        <w:trPr>
          <w:trHeight w:val="397" w:hRule="atLeast"/>
        </w:trPr>
        <w:tc>
          <w:tcPr>
            <w:tcW w:w="1090" w:type="pct"/>
            <w:vMerge w:val="continue"/>
            <w:tcBorders>
              <w:top w:val="nil"/>
              <w:left w:val="single" w:color="auto" w:sz="4" w:space="0"/>
              <w:bottom w:val="single" w:color="000000" w:sz="4" w:space="0"/>
              <w:right w:val="single" w:color="auto" w:sz="4" w:space="0"/>
            </w:tcBorders>
            <w:vAlign w:val="center"/>
          </w:tcPr>
          <w:p>
            <w:pPr>
              <w:widowControl/>
              <w:jc w:val="left"/>
              <w:rPr>
                <w:rFonts w:hint="default" w:ascii="Times New Roman" w:hAnsi="Times New Roman" w:cs="Times New Roman" w:eastAsiaTheme="minorEastAsia"/>
                <w:kern w:val="0"/>
                <w:szCs w:val="21"/>
              </w:rPr>
            </w:pPr>
          </w:p>
        </w:tc>
        <w:tc>
          <w:tcPr>
            <w:tcW w:w="1724"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变幅（元/平方米）</w:t>
            </w:r>
          </w:p>
        </w:tc>
        <w:tc>
          <w:tcPr>
            <w:tcW w:w="729"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49—69</w:t>
            </w:r>
          </w:p>
        </w:tc>
        <w:tc>
          <w:tcPr>
            <w:tcW w:w="729"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39—55</w:t>
            </w:r>
          </w:p>
        </w:tc>
        <w:tc>
          <w:tcPr>
            <w:tcW w:w="728"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32—44</w:t>
            </w:r>
          </w:p>
        </w:tc>
      </w:tr>
      <w:tr>
        <w:tblPrEx>
          <w:tblCellMar>
            <w:top w:w="0" w:type="dxa"/>
            <w:left w:w="108" w:type="dxa"/>
            <w:bottom w:w="0" w:type="dxa"/>
            <w:right w:w="108" w:type="dxa"/>
          </w:tblCellMar>
        </w:tblPrEx>
        <w:trPr>
          <w:trHeight w:val="397" w:hRule="atLeast"/>
        </w:trPr>
        <w:tc>
          <w:tcPr>
            <w:tcW w:w="1090" w:type="pct"/>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设施农用地</w:t>
            </w:r>
          </w:p>
        </w:tc>
        <w:tc>
          <w:tcPr>
            <w:tcW w:w="1724"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元/平方米</w:t>
            </w:r>
          </w:p>
        </w:tc>
        <w:tc>
          <w:tcPr>
            <w:tcW w:w="729"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81</w:t>
            </w:r>
          </w:p>
        </w:tc>
        <w:tc>
          <w:tcPr>
            <w:tcW w:w="729"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64</w:t>
            </w:r>
          </w:p>
        </w:tc>
        <w:tc>
          <w:tcPr>
            <w:tcW w:w="728"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53</w:t>
            </w:r>
          </w:p>
        </w:tc>
      </w:tr>
      <w:tr>
        <w:tblPrEx>
          <w:tblCellMar>
            <w:top w:w="0" w:type="dxa"/>
            <w:left w:w="108" w:type="dxa"/>
            <w:bottom w:w="0" w:type="dxa"/>
            <w:right w:w="108" w:type="dxa"/>
          </w:tblCellMar>
        </w:tblPrEx>
        <w:trPr>
          <w:trHeight w:val="397" w:hRule="atLeast"/>
        </w:trPr>
        <w:tc>
          <w:tcPr>
            <w:tcW w:w="1090" w:type="pct"/>
            <w:vMerge w:val="continue"/>
            <w:tcBorders>
              <w:top w:val="nil"/>
              <w:left w:val="single" w:color="auto" w:sz="4" w:space="0"/>
              <w:bottom w:val="single" w:color="000000" w:sz="4" w:space="0"/>
              <w:right w:val="single" w:color="auto" w:sz="4" w:space="0"/>
            </w:tcBorders>
            <w:vAlign w:val="center"/>
          </w:tcPr>
          <w:p>
            <w:pPr>
              <w:widowControl/>
              <w:jc w:val="left"/>
              <w:rPr>
                <w:rFonts w:hint="default" w:ascii="Times New Roman" w:hAnsi="Times New Roman" w:cs="Times New Roman" w:eastAsiaTheme="minorEastAsia"/>
                <w:kern w:val="0"/>
                <w:szCs w:val="21"/>
              </w:rPr>
            </w:pPr>
          </w:p>
        </w:tc>
        <w:tc>
          <w:tcPr>
            <w:tcW w:w="1724"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万元/亩</w:t>
            </w:r>
          </w:p>
        </w:tc>
        <w:tc>
          <w:tcPr>
            <w:tcW w:w="729"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 xml:space="preserve">5.40 </w:t>
            </w:r>
          </w:p>
        </w:tc>
        <w:tc>
          <w:tcPr>
            <w:tcW w:w="729"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 xml:space="preserve">4.27 </w:t>
            </w:r>
          </w:p>
        </w:tc>
        <w:tc>
          <w:tcPr>
            <w:tcW w:w="728"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 xml:space="preserve">3.53 </w:t>
            </w:r>
          </w:p>
        </w:tc>
      </w:tr>
      <w:tr>
        <w:tblPrEx>
          <w:tblCellMar>
            <w:top w:w="0" w:type="dxa"/>
            <w:left w:w="108" w:type="dxa"/>
            <w:bottom w:w="0" w:type="dxa"/>
            <w:right w:w="108" w:type="dxa"/>
          </w:tblCellMar>
        </w:tblPrEx>
        <w:trPr>
          <w:trHeight w:val="397" w:hRule="atLeast"/>
        </w:trPr>
        <w:tc>
          <w:tcPr>
            <w:tcW w:w="1090" w:type="pct"/>
            <w:vMerge w:val="continue"/>
            <w:tcBorders>
              <w:top w:val="nil"/>
              <w:left w:val="single" w:color="auto" w:sz="4" w:space="0"/>
              <w:bottom w:val="single" w:color="000000" w:sz="4" w:space="0"/>
              <w:right w:val="single" w:color="auto" w:sz="4" w:space="0"/>
            </w:tcBorders>
            <w:vAlign w:val="center"/>
          </w:tcPr>
          <w:p>
            <w:pPr>
              <w:widowControl/>
              <w:jc w:val="left"/>
              <w:rPr>
                <w:rFonts w:hint="default" w:ascii="Times New Roman" w:hAnsi="Times New Roman" w:cs="Times New Roman" w:eastAsiaTheme="minorEastAsia"/>
                <w:kern w:val="0"/>
                <w:szCs w:val="21"/>
              </w:rPr>
            </w:pPr>
          </w:p>
        </w:tc>
        <w:tc>
          <w:tcPr>
            <w:tcW w:w="1724"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变幅（元/平方米）</w:t>
            </w:r>
          </w:p>
        </w:tc>
        <w:tc>
          <w:tcPr>
            <w:tcW w:w="729"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65—97</w:t>
            </w:r>
          </w:p>
        </w:tc>
        <w:tc>
          <w:tcPr>
            <w:tcW w:w="729"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54—74</w:t>
            </w:r>
          </w:p>
        </w:tc>
        <w:tc>
          <w:tcPr>
            <w:tcW w:w="728"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44—62</w:t>
            </w:r>
          </w:p>
        </w:tc>
      </w:tr>
    </w:tbl>
    <w:p>
      <w:pPr>
        <w:spacing w:line="360" w:lineRule="auto"/>
        <w:ind w:firstLine="420"/>
        <w:rPr>
          <w:rFonts w:hint="default" w:ascii="Times New Roman" w:hAnsi="Times New Roman" w:eastAsia="黑体" w:cs="Times New Roman"/>
          <w:sz w:val="24"/>
        </w:rPr>
      </w:pPr>
    </w:p>
    <w:p>
      <w:pPr>
        <w:numPr>
          <w:ilvl w:val="0"/>
          <w:numId w:val="1"/>
        </w:numPr>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t>地价图</w:t>
      </w:r>
    </w:p>
    <w:p>
      <w:pPr>
        <w:numPr>
          <w:ilvl w:val="0"/>
          <w:numId w:val="0"/>
        </w:numPr>
        <w:jc w:val="center"/>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drawing>
          <wp:inline distT="0" distB="0" distL="114300" distR="114300">
            <wp:extent cx="5267960" cy="6014085"/>
            <wp:effectExtent l="0" t="0" r="8890" b="5715"/>
            <wp:docPr id="1" name="图片 1" descr="许昌市集体耕地级别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许昌市集体耕地级别图"/>
                    <pic:cNvPicPr>
                      <a:picLocks noChangeAspect="true"/>
                    </pic:cNvPicPr>
                  </pic:nvPicPr>
                  <pic:blipFill>
                    <a:blip r:embed="rId4"/>
                    <a:stretch>
                      <a:fillRect/>
                    </a:stretch>
                  </pic:blipFill>
                  <pic:spPr>
                    <a:xfrm>
                      <a:off x="0" y="0"/>
                      <a:ext cx="5267960" cy="6014085"/>
                    </a:xfrm>
                    <a:prstGeom prst="rect">
                      <a:avLst/>
                    </a:prstGeom>
                  </pic:spPr>
                </pic:pic>
              </a:graphicData>
            </a:graphic>
          </wp:inline>
        </w:drawing>
      </w:r>
    </w:p>
    <w:p>
      <w:pPr>
        <w:numPr>
          <w:ilvl w:val="0"/>
          <w:numId w:val="0"/>
        </w:numPr>
        <w:rPr>
          <w:rFonts w:hint="default" w:ascii="Times New Roman" w:hAnsi="Times New Roman" w:eastAsia="黑体" w:cs="Times New Roman"/>
          <w:sz w:val="32"/>
          <w:szCs w:val="32"/>
          <w:lang w:eastAsia="zh-CN"/>
        </w:rPr>
      </w:pPr>
    </w:p>
    <w:p>
      <w:pPr>
        <w:numPr>
          <w:ilvl w:val="0"/>
          <w:numId w:val="0"/>
        </w:numPr>
        <w:rPr>
          <w:rFonts w:hint="default" w:ascii="Times New Roman" w:hAnsi="Times New Roman" w:eastAsia="黑体" w:cs="Times New Roman"/>
          <w:sz w:val="32"/>
          <w:szCs w:val="32"/>
          <w:lang w:eastAsia="zh-CN"/>
        </w:rPr>
      </w:pPr>
    </w:p>
    <w:p>
      <w:pPr>
        <w:numPr>
          <w:ilvl w:val="0"/>
          <w:numId w:val="0"/>
        </w:numPr>
        <w:rPr>
          <w:rFonts w:hint="default" w:ascii="Times New Roman" w:hAnsi="Times New Roman" w:eastAsia="黑体" w:cs="Times New Roman"/>
          <w:sz w:val="32"/>
          <w:szCs w:val="32"/>
          <w:lang w:eastAsia="zh-CN"/>
        </w:rPr>
      </w:pPr>
    </w:p>
    <w:p>
      <w:pPr>
        <w:numPr>
          <w:ilvl w:val="0"/>
          <w:numId w:val="0"/>
        </w:numPr>
        <w:rPr>
          <w:rFonts w:hint="default" w:ascii="Times New Roman" w:hAnsi="Times New Roman" w:eastAsia="黑体" w:cs="Times New Roman"/>
          <w:sz w:val="32"/>
          <w:szCs w:val="32"/>
          <w:lang w:eastAsia="zh-CN"/>
        </w:rPr>
      </w:pPr>
    </w:p>
    <w:p>
      <w:pPr>
        <w:numPr>
          <w:ilvl w:val="0"/>
          <w:numId w:val="0"/>
        </w:numPr>
        <w:rPr>
          <w:rFonts w:hint="default" w:ascii="Times New Roman" w:hAnsi="Times New Roman" w:eastAsia="黑体" w:cs="Times New Roman"/>
          <w:sz w:val="32"/>
          <w:szCs w:val="32"/>
          <w:lang w:eastAsia="zh-CN"/>
        </w:rPr>
      </w:pPr>
    </w:p>
    <w:p>
      <w:pPr>
        <w:numPr>
          <w:ilvl w:val="0"/>
          <w:numId w:val="0"/>
        </w:numPr>
        <w:rPr>
          <w:rFonts w:hint="default" w:ascii="Times New Roman" w:hAnsi="Times New Roman" w:eastAsia="黑体" w:cs="Times New Roman"/>
          <w:sz w:val="32"/>
          <w:szCs w:val="32"/>
          <w:lang w:eastAsia="zh-CN"/>
        </w:rPr>
      </w:pPr>
    </w:p>
    <w:p>
      <w:pPr>
        <w:numPr>
          <w:ilvl w:val="0"/>
          <w:numId w:val="0"/>
        </w:numPr>
        <w:jc w:val="center"/>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drawing>
          <wp:inline distT="0" distB="0" distL="114300" distR="114300">
            <wp:extent cx="5267960" cy="6014085"/>
            <wp:effectExtent l="0" t="0" r="8890" b="5715"/>
            <wp:docPr id="2" name="图片 2" descr="许昌市集体林地级别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许昌市集体林地级别图"/>
                    <pic:cNvPicPr>
                      <a:picLocks noChangeAspect="true"/>
                    </pic:cNvPicPr>
                  </pic:nvPicPr>
                  <pic:blipFill>
                    <a:blip r:embed="rId5"/>
                    <a:stretch>
                      <a:fillRect/>
                    </a:stretch>
                  </pic:blipFill>
                  <pic:spPr>
                    <a:xfrm>
                      <a:off x="0" y="0"/>
                      <a:ext cx="5267960" cy="6014085"/>
                    </a:xfrm>
                    <a:prstGeom prst="rect">
                      <a:avLst/>
                    </a:prstGeom>
                  </pic:spPr>
                </pic:pic>
              </a:graphicData>
            </a:graphic>
          </wp:inline>
        </w:drawing>
      </w:r>
    </w:p>
    <w:p>
      <w:pPr>
        <w:numPr>
          <w:ilvl w:val="0"/>
          <w:numId w:val="0"/>
        </w:numPr>
        <w:rPr>
          <w:rFonts w:hint="default" w:ascii="Times New Roman" w:hAnsi="Times New Roman" w:eastAsia="黑体" w:cs="Times New Roman"/>
          <w:sz w:val="32"/>
          <w:szCs w:val="32"/>
          <w:lang w:eastAsia="zh-CN"/>
        </w:rPr>
      </w:pPr>
    </w:p>
    <w:p>
      <w:pPr>
        <w:numPr>
          <w:ilvl w:val="0"/>
          <w:numId w:val="0"/>
        </w:numPr>
        <w:rPr>
          <w:rFonts w:hint="default" w:ascii="Times New Roman" w:hAnsi="Times New Roman" w:eastAsia="黑体" w:cs="Times New Roman"/>
          <w:sz w:val="32"/>
          <w:szCs w:val="32"/>
          <w:lang w:eastAsia="zh-CN"/>
        </w:rPr>
      </w:pPr>
    </w:p>
    <w:p>
      <w:pPr>
        <w:numPr>
          <w:ilvl w:val="0"/>
          <w:numId w:val="0"/>
        </w:numPr>
        <w:rPr>
          <w:rFonts w:hint="default" w:ascii="Times New Roman" w:hAnsi="Times New Roman" w:eastAsia="黑体" w:cs="Times New Roman"/>
          <w:sz w:val="32"/>
          <w:szCs w:val="32"/>
          <w:lang w:eastAsia="zh-CN"/>
        </w:rPr>
      </w:pPr>
    </w:p>
    <w:p>
      <w:pPr>
        <w:numPr>
          <w:ilvl w:val="0"/>
          <w:numId w:val="0"/>
        </w:numPr>
        <w:rPr>
          <w:rFonts w:hint="default" w:ascii="Times New Roman" w:hAnsi="Times New Roman" w:eastAsia="黑体" w:cs="Times New Roman"/>
          <w:sz w:val="32"/>
          <w:szCs w:val="32"/>
          <w:lang w:eastAsia="zh-CN"/>
        </w:rPr>
      </w:pPr>
    </w:p>
    <w:p>
      <w:pPr>
        <w:numPr>
          <w:ilvl w:val="0"/>
          <w:numId w:val="0"/>
        </w:numPr>
        <w:rPr>
          <w:rFonts w:hint="default" w:ascii="Times New Roman" w:hAnsi="Times New Roman" w:eastAsia="黑体" w:cs="Times New Roman"/>
          <w:sz w:val="32"/>
          <w:szCs w:val="32"/>
          <w:lang w:eastAsia="zh-CN"/>
        </w:rPr>
      </w:pPr>
    </w:p>
    <w:p>
      <w:pPr>
        <w:numPr>
          <w:ilvl w:val="0"/>
          <w:numId w:val="0"/>
        </w:numPr>
        <w:rPr>
          <w:rFonts w:hint="default" w:ascii="Times New Roman" w:hAnsi="Times New Roman" w:eastAsia="黑体" w:cs="Times New Roman"/>
          <w:sz w:val="32"/>
          <w:szCs w:val="32"/>
          <w:lang w:eastAsia="zh-CN"/>
        </w:rPr>
      </w:pPr>
    </w:p>
    <w:p>
      <w:pPr>
        <w:numPr>
          <w:ilvl w:val="0"/>
          <w:numId w:val="0"/>
        </w:numPr>
        <w:rPr>
          <w:rFonts w:hint="default" w:ascii="Times New Roman" w:hAnsi="Times New Roman" w:eastAsia="黑体" w:cs="Times New Roman"/>
          <w:sz w:val="32"/>
          <w:szCs w:val="32"/>
          <w:lang w:eastAsia="zh-CN"/>
        </w:rPr>
      </w:pPr>
    </w:p>
    <w:p>
      <w:pPr>
        <w:numPr>
          <w:ilvl w:val="0"/>
          <w:numId w:val="0"/>
        </w:numPr>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drawing>
          <wp:inline distT="0" distB="0" distL="114300" distR="114300">
            <wp:extent cx="5267960" cy="6014085"/>
            <wp:effectExtent l="0" t="0" r="8890" b="5715"/>
            <wp:docPr id="3" name="图片 3" descr="许昌市集体设施农用地级别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许昌市集体设施农用地级别图"/>
                    <pic:cNvPicPr>
                      <a:picLocks noChangeAspect="true"/>
                    </pic:cNvPicPr>
                  </pic:nvPicPr>
                  <pic:blipFill>
                    <a:blip r:embed="rId6"/>
                    <a:stretch>
                      <a:fillRect/>
                    </a:stretch>
                  </pic:blipFill>
                  <pic:spPr>
                    <a:xfrm>
                      <a:off x="0" y="0"/>
                      <a:ext cx="5267960" cy="6014085"/>
                    </a:xfrm>
                    <a:prstGeom prst="rect">
                      <a:avLst/>
                    </a:prstGeom>
                  </pic:spPr>
                </pic:pic>
              </a:graphicData>
            </a:graphic>
          </wp:inline>
        </w:drawing>
      </w:r>
    </w:p>
    <w:p>
      <w:pPr>
        <w:numPr>
          <w:ilvl w:val="0"/>
          <w:numId w:val="0"/>
        </w:numPr>
        <w:jc w:val="center"/>
        <w:rPr>
          <w:rFonts w:hint="default" w:ascii="Times New Roman" w:hAnsi="Times New Roman" w:eastAsia="黑体" w:cs="Times New Roman"/>
          <w:sz w:val="32"/>
          <w:szCs w:val="32"/>
          <w:lang w:eastAsia="zh-CN"/>
        </w:rPr>
      </w:pPr>
    </w:p>
    <w:p>
      <w:pPr>
        <w:numPr>
          <w:ilvl w:val="0"/>
          <w:numId w:val="0"/>
        </w:numPr>
        <w:jc w:val="center"/>
        <w:rPr>
          <w:rFonts w:hint="default" w:ascii="Times New Roman" w:hAnsi="Times New Roman" w:eastAsia="黑体" w:cs="Times New Roman"/>
          <w:sz w:val="32"/>
          <w:szCs w:val="32"/>
          <w:lang w:eastAsia="zh-CN"/>
        </w:rPr>
      </w:pPr>
    </w:p>
    <w:p>
      <w:pPr>
        <w:numPr>
          <w:ilvl w:val="0"/>
          <w:numId w:val="0"/>
        </w:numPr>
        <w:jc w:val="center"/>
        <w:rPr>
          <w:rFonts w:hint="default" w:ascii="Times New Roman" w:hAnsi="Times New Roman" w:eastAsia="黑体" w:cs="Times New Roman"/>
          <w:sz w:val="32"/>
          <w:szCs w:val="32"/>
          <w:lang w:eastAsia="zh-CN"/>
        </w:rPr>
      </w:pPr>
    </w:p>
    <w:p>
      <w:pPr>
        <w:numPr>
          <w:ilvl w:val="0"/>
          <w:numId w:val="0"/>
        </w:numPr>
        <w:jc w:val="center"/>
        <w:rPr>
          <w:rFonts w:hint="default" w:ascii="Times New Roman" w:hAnsi="Times New Roman" w:eastAsia="黑体" w:cs="Times New Roman"/>
          <w:sz w:val="32"/>
          <w:szCs w:val="32"/>
          <w:lang w:eastAsia="zh-CN"/>
        </w:rPr>
      </w:pPr>
    </w:p>
    <w:p>
      <w:pPr>
        <w:numPr>
          <w:ilvl w:val="0"/>
          <w:numId w:val="0"/>
        </w:numPr>
        <w:jc w:val="center"/>
        <w:rPr>
          <w:rFonts w:hint="default" w:ascii="Times New Roman" w:hAnsi="Times New Roman" w:eastAsia="黑体" w:cs="Times New Roman"/>
          <w:sz w:val="32"/>
          <w:szCs w:val="32"/>
          <w:lang w:eastAsia="zh-CN"/>
        </w:rPr>
      </w:pPr>
    </w:p>
    <w:p>
      <w:pPr>
        <w:numPr>
          <w:ilvl w:val="0"/>
          <w:numId w:val="0"/>
        </w:numPr>
        <w:jc w:val="center"/>
        <w:rPr>
          <w:rFonts w:hint="default" w:ascii="Times New Roman" w:hAnsi="Times New Roman" w:eastAsia="黑体" w:cs="Times New Roman"/>
          <w:sz w:val="32"/>
          <w:szCs w:val="32"/>
          <w:lang w:eastAsia="zh-CN"/>
        </w:rPr>
      </w:pPr>
    </w:p>
    <w:p>
      <w:pPr>
        <w:numPr>
          <w:ilvl w:val="0"/>
          <w:numId w:val="0"/>
        </w:numPr>
        <w:jc w:val="center"/>
        <w:rPr>
          <w:rFonts w:hint="default" w:ascii="Times New Roman" w:hAnsi="Times New Roman" w:eastAsia="黑体" w:cs="Times New Roman"/>
          <w:sz w:val="32"/>
          <w:szCs w:val="32"/>
          <w:lang w:eastAsia="zh-CN"/>
        </w:rPr>
      </w:pPr>
    </w:p>
    <w:p>
      <w:pPr>
        <w:numPr>
          <w:ilvl w:val="0"/>
          <w:numId w:val="0"/>
        </w:numPr>
        <w:jc w:val="both"/>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drawing>
          <wp:inline distT="0" distB="0" distL="114300" distR="114300">
            <wp:extent cx="5267960" cy="6014085"/>
            <wp:effectExtent l="0" t="0" r="8890" b="5715"/>
            <wp:docPr id="4" name="图片 4" descr="许昌市集体种植园地级别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许昌市集体种植园地级别图"/>
                    <pic:cNvPicPr>
                      <a:picLocks noChangeAspect="true"/>
                    </pic:cNvPicPr>
                  </pic:nvPicPr>
                  <pic:blipFill>
                    <a:blip r:embed="rId7"/>
                    <a:stretch>
                      <a:fillRect/>
                    </a:stretch>
                  </pic:blipFill>
                  <pic:spPr>
                    <a:xfrm>
                      <a:off x="0" y="0"/>
                      <a:ext cx="5267960" cy="601408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楷体_GB2312">
    <w:altName w:val="楷体"/>
    <w:panose1 w:val="02010609030101010101"/>
    <w:charset w:val="86"/>
    <w:family w:val="modern"/>
    <w:pitch w:val="default"/>
    <w:sig w:usb0="00000000" w:usb1="00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方正宋体S-超大字符集">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7FE9C2E"/>
    <w:multiLevelType w:val="singleLevel"/>
    <w:tmpl w:val="E7FE9C2E"/>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1"/>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TNjNDliZmY1NmM4M2Y2N2RmMzQyM2U2OTM3Y2Q4YjEifQ=="/>
  </w:docVars>
  <w:rsids>
    <w:rsidRoot w:val="006704B9"/>
    <w:rsid w:val="000248B3"/>
    <w:rsid w:val="00247915"/>
    <w:rsid w:val="006704B9"/>
    <w:rsid w:val="008C4180"/>
    <w:rsid w:val="11196DE3"/>
    <w:rsid w:val="1E501F49"/>
    <w:rsid w:val="47E91E53"/>
    <w:rsid w:val="6F77F04A"/>
    <w:rsid w:val="96EF427A"/>
    <w:rsid w:val="BF7F948B"/>
    <w:rsid w:val="F99B34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0"/>
    <w:qFormat/>
    <w:uiPriority w:val="0"/>
    <w:pPr>
      <w:keepNext/>
      <w:keepLines/>
      <w:spacing w:before="340" w:after="330" w:line="360" w:lineRule="auto"/>
      <w:outlineLvl w:val="0"/>
    </w:pPr>
    <w:rPr>
      <w:rFonts w:eastAsia="楷体_GB2312"/>
      <w:b/>
      <w:bCs/>
      <w:kern w:val="44"/>
      <w:sz w:val="36"/>
      <w:szCs w:val="44"/>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9"/>
    <w:semiHidden/>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4">
    <w:name w:val="header"/>
    <w:basedOn w:val="1"/>
    <w:link w:val="8"/>
    <w:semiHidden/>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5">
    <w:name w:val="Normal (Web)"/>
    <w:basedOn w:val="1"/>
    <w:qFormat/>
    <w:uiPriority w:val="0"/>
    <w:pPr>
      <w:spacing w:before="100" w:beforeAutospacing="1" w:after="100" w:afterAutospacing="1"/>
      <w:ind w:left="0" w:right="0"/>
      <w:jc w:val="left"/>
    </w:pPr>
    <w:rPr>
      <w:kern w:val="0"/>
      <w:sz w:val="24"/>
      <w:lang w:val="en-US" w:eastAsia="zh-CN" w:bidi="ar"/>
    </w:rPr>
  </w:style>
  <w:style w:type="character" w:customStyle="1" w:styleId="8">
    <w:name w:val="页眉 Char"/>
    <w:basedOn w:val="7"/>
    <w:link w:val="4"/>
    <w:semiHidden/>
    <w:qFormat/>
    <w:uiPriority w:val="99"/>
    <w:rPr>
      <w:sz w:val="18"/>
      <w:szCs w:val="18"/>
    </w:rPr>
  </w:style>
  <w:style w:type="character" w:customStyle="1" w:styleId="9">
    <w:name w:val="页脚 Char"/>
    <w:basedOn w:val="7"/>
    <w:link w:val="3"/>
    <w:semiHidden/>
    <w:qFormat/>
    <w:uiPriority w:val="99"/>
    <w:rPr>
      <w:sz w:val="18"/>
      <w:szCs w:val="18"/>
    </w:rPr>
  </w:style>
  <w:style w:type="character" w:customStyle="1" w:styleId="10">
    <w:name w:val="标题 1 Char"/>
    <w:basedOn w:val="7"/>
    <w:link w:val="2"/>
    <w:qFormat/>
    <w:uiPriority w:val="0"/>
    <w:rPr>
      <w:rFonts w:ascii="Times New Roman" w:hAnsi="Times New Roman" w:eastAsia="楷体_GB2312" w:cs="Times New Roman"/>
      <w:b/>
      <w:bCs/>
      <w:kern w:val="44"/>
      <w:sz w:val="36"/>
      <w:szCs w:val="4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Pages>
  <Words>175</Words>
  <Characters>998</Characters>
  <Lines>8</Lines>
  <Paragraphs>2</Paragraphs>
  <TotalTime>0</TotalTime>
  <ScaleCrop>false</ScaleCrop>
  <LinksUpToDate>false</LinksUpToDate>
  <CharactersWithSpaces>1171</CharactersWithSpaces>
  <Application>WPS Office_11.8.2.10229_F1E327BC-269C-435d-A152-05C5408002CA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2022-06-27T09:21:00Z</dcterms:created>
  <dc:creator>Microsoft</dc:creator>
  <cp:lastModifiedBy>huanghe</cp:lastModifiedBy>
  <cp:lastPrinted>2024-01-15T17:19:00Z</cp:lastPrinted>
  <dcterms:modified xsi:type="dcterms:W3CDTF">2024-01-15T14:43:20Z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2052-11.8.2.10229</vt:lpwstr>
  </property>
  <property fmtid="{D5CDD505-2E9C-101B-9397-08002B2CF9AE}" pid="3" name="ICV">
    <vt:lpwstr>82334933A2B740BD8330BC9319CB25AB_12</vt:lpwstr>
  </property>
</Properties>
</file>