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eastAsia="黑体" w:cs="Times New Roman"/>
          <w:b w:val="0"/>
          <w:bCs w:val="0"/>
          <w:sz w:val="32"/>
          <w:szCs w:val="32"/>
          <w:lang w:val="en-US" w:eastAsia="zh-CN"/>
        </w:rPr>
      </w:pPr>
      <w:bookmarkStart w:id="0" w:name="_Toc106956781"/>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3</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许昌市市本级国有农用地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基准地价内涵及成果表</w:t>
      </w:r>
      <w:r>
        <w:rPr>
          <w:rFonts w:hint="default" w:ascii="Times New Roman" w:hAnsi="Times New Roman" w:eastAsia="方正小标宋简体" w:cs="Times New Roman"/>
          <w:sz w:val="44"/>
          <w:szCs w:val="44"/>
          <w:lang w:eastAsia="zh-CN"/>
        </w:rPr>
        <w:t>、地价图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b w:val="0"/>
          <w:bCs/>
          <w:i w:val="0"/>
          <w:caps w:val="0"/>
          <w:color w:val="auto"/>
          <w:spacing w:val="0"/>
          <w:sz w:val="44"/>
          <w:szCs w:val="44"/>
          <w:shd w:val="clear" w:color="auto" w:fill="FFFFFF"/>
        </w:rPr>
        <w:t>（征求意见稿）</w:t>
      </w:r>
      <w:bookmarkStart w:id="1" w:name="_GoBack"/>
      <w:bookmarkEnd w:id="1"/>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小标宋简体" w:cs="Times New Roman"/>
          <w:sz w:val="36"/>
          <w:szCs w:val="36"/>
          <w:lang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一、国有农用地基准地价内涵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国有农用地基准地价是政府根据需要针对农用地不同级别或不同均质区域，按照不同用地类型，分别评估确定的某一估价期日的平均价格。因此需要对其基准地价内涵进行界定，一般要包括土地权利、土地权利年期、用地类型、耕作制度、农田基础设施状况、基准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①国有农用地基准地价是一种分级别、分用途的土地使用权平均价格，用地类型按照耕地、种植园用地、林地、设施农用地等用途区分，各用途均确定土地权利年限。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②基准地价是在明确界定基础设施状况、耕作制度、交易年限等条件下的土地使用权平均价格。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）许昌市市本级国有农用地基准地价内涵为：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①土地权利类型: 国有农用地出让使用权价格</w:t>
      </w:r>
      <w:r>
        <w:rPr>
          <w:rFonts w:hint="default" w:ascii="Times New Roman" w:hAnsi="Times New Roman" w:eastAsia="仿宋_GB2312" w:cs="Times New Roman"/>
          <w:color w:val="auto"/>
          <w:sz w:val="32"/>
          <w:szCs w:val="32"/>
        </w:rPr>
        <w:t>（仅限用于农垦改革）。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②土地使用权年期：50年。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③用地类型：耕地、种植园用地、林地、设施农用地。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④标准耕作制度（使用方式）和标准作物：耕地为一年两熟、冬小麦-夏玉米；种植园用地为桃树；林地为杨树；设施农用地为生猪养殖。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⑤基础设施状况：三通一平，即通路、通电、通水和土地平整。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color w:val="FF0000"/>
          <w:sz w:val="24"/>
        </w:rPr>
      </w:pPr>
      <w:r>
        <w:rPr>
          <w:rFonts w:hint="default" w:ascii="Times New Roman" w:hAnsi="Times New Roman" w:eastAsia="仿宋_GB2312" w:cs="Times New Roman"/>
          <w:sz w:val="32"/>
          <w:szCs w:val="32"/>
        </w:rPr>
        <w:t>⑥估价期日为：2020年1月1日。</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二、国有农用地基准地价成果表</w:t>
      </w:r>
    </w:p>
    <w:p>
      <w:pPr>
        <w:tabs>
          <w:tab w:val="left" w:pos="1415"/>
          <w:tab w:val="center" w:pos="4153"/>
        </w:tabs>
        <w:spacing w:beforeLines="50" w:afterLines="50" w:line="240" w:lineRule="exact"/>
        <w:jc w:val="left"/>
        <w:rPr>
          <w:rFonts w:hint="default" w:ascii="Times New Roman" w:hAnsi="Times New Roman" w:cs="Times New Roman"/>
          <w:sz w:val="24"/>
        </w:rPr>
      </w:pPr>
      <w:r>
        <w:rPr>
          <w:rFonts w:hint="default" w:ascii="Times New Roman" w:hAnsi="Times New Roman" w:cs="Times New Roman"/>
          <w:sz w:val="24"/>
        </w:rPr>
        <w:tab/>
      </w:r>
    </w:p>
    <w:p>
      <w:pPr>
        <w:tabs>
          <w:tab w:val="left" w:pos="1415"/>
          <w:tab w:val="center" w:pos="4153"/>
        </w:tabs>
        <w:spacing w:beforeLines="50" w:afterLines="50" w:line="240" w:lineRule="exact"/>
        <w:jc w:val="center"/>
        <w:rPr>
          <w:rFonts w:hint="default" w:ascii="Times New Roman" w:hAnsi="Times New Roman" w:cs="Times New Roman"/>
          <w:sz w:val="24"/>
        </w:rPr>
      </w:pPr>
      <w:r>
        <w:rPr>
          <w:rFonts w:hint="default" w:ascii="Times New Roman" w:hAnsi="Times New Roman" w:cs="Times New Roman"/>
          <w:sz w:val="24"/>
        </w:rPr>
        <w:t>表1  许昌市市本级国有农用地基准地价成果表</w:t>
      </w:r>
    </w:p>
    <w:tbl>
      <w:tblPr>
        <w:tblStyle w:val="6"/>
        <w:tblW w:w="5000" w:type="pct"/>
        <w:tblInd w:w="0" w:type="dxa"/>
        <w:tblLayout w:type="autofit"/>
        <w:tblCellMar>
          <w:top w:w="0" w:type="dxa"/>
          <w:left w:w="108" w:type="dxa"/>
          <w:bottom w:w="0" w:type="dxa"/>
          <w:right w:w="108" w:type="dxa"/>
        </w:tblCellMar>
      </w:tblPr>
      <w:tblGrid>
        <w:gridCol w:w="1762"/>
        <w:gridCol w:w="2787"/>
        <w:gridCol w:w="1471"/>
        <w:gridCol w:w="1324"/>
        <w:gridCol w:w="1178"/>
      </w:tblGrid>
      <w:tr>
        <w:tblPrEx>
          <w:tblCellMar>
            <w:top w:w="0" w:type="dxa"/>
            <w:left w:w="108" w:type="dxa"/>
            <w:bottom w:w="0" w:type="dxa"/>
            <w:right w:w="108" w:type="dxa"/>
          </w:tblCellMar>
        </w:tblPrEx>
        <w:trPr>
          <w:trHeight w:val="397" w:hRule="atLeast"/>
        </w:trPr>
        <w:tc>
          <w:tcPr>
            <w:tcW w:w="26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地类</w:t>
            </w:r>
          </w:p>
        </w:tc>
        <w:tc>
          <w:tcPr>
            <w:tcW w:w="8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一级地</w:t>
            </w:r>
          </w:p>
        </w:tc>
        <w:tc>
          <w:tcPr>
            <w:tcW w:w="7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二级地</w:t>
            </w:r>
          </w:p>
        </w:tc>
        <w:tc>
          <w:tcPr>
            <w:tcW w:w="6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三级地</w:t>
            </w:r>
          </w:p>
        </w:tc>
      </w:tr>
      <w:tr>
        <w:tblPrEx>
          <w:tblCellMar>
            <w:top w:w="0" w:type="dxa"/>
            <w:left w:w="108" w:type="dxa"/>
            <w:bottom w:w="0" w:type="dxa"/>
            <w:right w:w="108" w:type="dxa"/>
          </w:tblCellMar>
        </w:tblPrEx>
        <w:trPr>
          <w:trHeight w:val="397" w:hRule="atLeast"/>
        </w:trPr>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耕地</w:t>
            </w: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66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56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47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万元/亩</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4.40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3.73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3.13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变幅（元/平方米）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58—74</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49—63</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44—53</w:t>
            </w:r>
          </w:p>
        </w:tc>
      </w:tr>
      <w:tr>
        <w:tblPrEx>
          <w:tblCellMar>
            <w:top w:w="0" w:type="dxa"/>
            <w:left w:w="108" w:type="dxa"/>
            <w:bottom w:w="0" w:type="dxa"/>
            <w:right w:w="108" w:type="dxa"/>
          </w:tblCellMar>
        </w:tblPrEx>
        <w:trPr>
          <w:trHeight w:val="397" w:hRule="atLeast"/>
        </w:trPr>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林地</w:t>
            </w: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48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37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29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万元/亩</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3.20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2.47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1.93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变幅（元/平方米）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41—56</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31—44</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24—35</w:t>
            </w:r>
          </w:p>
        </w:tc>
      </w:tr>
      <w:tr>
        <w:tblPrEx>
          <w:tblCellMar>
            <w:top w:w="0" w:type="dxa"/>
            <w:left w:w="108" w:type="dxa"/>
            <w:bottom w:w="0" w:type="dxa"/>
            <w:right w:w="108" w:type="dxa"/>
          </w:tblCellMar>
        </w:tblPrEx>
        <w:trPr>
          <w:trHeight w:val="397" w:hRule="atLeast"/>
        </w:trPr>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种植园用地</w:t>
            </w: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94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72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64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万元/亩</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6.27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4.80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4.27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变幅（元/平方米）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86—102</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65—87</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56—71</w:t>
            </w:r>
          </w:p>
        </w:tc>
      </w:tr>
      <w:tr>
        <w:tblPrEx>
          <w:tblCellMar>
            <w:top w:w="0" w:type="dxa"/>
            <w:left w:w="108" w:type="dxa"/>
            <w:bottom w:w="0" w:type="dxa"/>
            <w:right w:w="108" w:type="dxa"/>
          </w:tblCellMar>
        </w:tblPrEx>
        <w:trPr>
          <w:trHeight w:val="397" w:hRule="atLeast"/>
        </w:trPr>
        <w:tc>
          <w:tcPr>
            <w:tcW w:w="103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设施农用地</w:t>
            </w: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113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94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77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万元/亩</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7.53 </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6.27 </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 xml:space="preserve">5.13 </w:t>
            </w:r>
          </w:p>
        </w:tc>
      </w:tr>
      <w:tr>
        <w:tblPrEx>
          <w:tblCellMar>
            <w:top w:w="0" w:type="dxa"/>
            <w:left w:w="108" w:type="dxa"/>
            <w:bottom w:w="0" w:type="dxa"/>
            <w:right w:w="108" w:type="dxa"/>
          </w:tblCellMar>
        </w:tblPrEx>
        <w:trPr>
          <w:trHeight w:val="397" w:hRule="atLeast"/>
        </w:trPr>
        <w:tc>
          <w:tcPr>
            <w:tcW w:w="1034"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Cs w:val="21"/>
              </w:rPr>
            </w:pPr>
          </w:p>
        </w:tc>
        <w:tc>
          <w:tcPr>
            <w:tcW w:w="16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变幅（元/平方米）</w:t>
            </w:r>
          </w:p>
        </w:tc>
        <w:tc>
          <w:tcPr>
            <w:tcW w:w="863"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102—124</w:t>
            </w:r>
          </w:p>
        </w:tc>
        <w:tc>
          <w:tcPr>
            <w:tcW w:w="777"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84—106</w:t>
            </w:r>
          </w:p>
        </w:tc>
        <w:tc>
          <w:tcPr>
            <w:tcW w:w="691" w:type="pct"/>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Cs/>
                <w:kern w:val="0"/>
                <w:szCs w:val="21"/>
              </w:rPr>
            </w:pPr>
            <w:r>
              <w:rPr>
                <w:rFonts w:hint="default" w:ascii="Times New Roman" w:hAnsi="Times New Roman" w:cs="Times New Roman"/>
                <w:bCs/>
                <w:kern w:val="0"/>
                <w:szCs w:val="21"/>
              </w:rPr>
              <w:t>67—88</w:t>
            </w:r>
          </w:p>
        </w:tc>
      </w:tr>
    </w:tbl>
    <w:p>
      <w:pPr>
        <w:spacing w:line="360" w:lineRule="auto"/>
        <w:ind w:firstLine="42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三、地价图</w:t>
      </w: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drawing>
          <wp:inline distT="0" distB="0" distL="114300" distR="114300">
            <wp:extent cx="5267960" cy="6014085"/>
            <wp:effectExtent l="0" t="0" r="8890" b="5715"/>
            <wp:docPr id="1" name="图片 1" descr="许昌市国有耕地级别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许昌市国有耕地级别图"/>
                    <pic:cNvPicPr>
                      <a:picLocks noChangeAspect="true"/>
                    </pic:cNvPicPr>
                  </pic:nvPicPr>
                  <pic:blipFill>
                    <a:blip r:embed="rId4"/>
                    <a:stretch>
                      <a:fillRect/>
                    </a:stretch>
                  </pic:blipFill>
                  <pic:spPr>
                    <a:xfrm>
                      <a:off x="0" y="0"/>
                      <a:ext cx="5267960" cy="6014085"/>
                    </a:xfrm>
                    <a:prstGeom prst="rect">
                      <a:avLst/>
                    </a:prstGeom>
                  </pic:spPr>
                </pic:pic>
              </a:graphicData>
            </a:graphic>
          </wp:inline>
        </w:drawing>
      </w: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drawing>
          <wp:inline distT="0" distB="0" distL="114300" distR="114300">
            <wp:extent cx="5267960" cy="6014085"/>
            <wp:effectExtent l="0" t="0" r="8890" b="5715"/>
            <wp:docPr id="2" name="图片 2" descr="许昌市国有林地级别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许昌市国有林地级别图"/>
                    <pic:cNvPicPr>
                      <a:picLocks noChangeAspect="true"/>
                    </pic:cNvPicPr>
                  </pic:nvPicPr>
                  <pic:blipFill>
                    <a:blip r:embed="rId5"/>
                    <a:stretch>
                      <a:fillRect/>
                    </a:stretch>
                  </pic:blipFill>
                  <pic:spPr>
                    <a:xfrm>
                      <a:off x="0" y="0"/>
                      <a:ext cx="5267960" cy="6014085"/>
                    </a:xfrm>
                    <a:prstGeom prst="rect">
                      <a:avLst/>
                    </a:prstGeom>
                  </pic:spPr>
                </pic:pic>
              </a:graphicData>
            </a:graphic>
          </wp:inline>
        </w:drawing>
      </w: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drawing>
          <wp:inline distT="0" distB="0" distL="114300" distR="114300">
            <wp:extent cx="5267960" cy="6014085"/>
            <wp:effectExtent l="0" t="0" r="8890" b="5715"/>
            <wp:docPr id="3" name="图片 3" descr="许昌市国有设施农用地级别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许昌市国有设施农用地级别图"/>
                    <pic:cNvPicPr>
                      <a:picLocks noChangeAspect="true"/>
                    </pic:cNvPicPr>
                  </pic:nvPicPr>
                  <pic:blipFill>
                    <a:blip r:embed="rId6"/>
                    <a:stretch>
                      <a:fillRect/>
                    </a:stretch>
                  </pic:blipFill>
                  <pic:spPr>
                    <a:xfrm>
                      <a:off x="0" y="0"/>
                      <a:ext cx="5267960" cy="6014085"/>
                    </a:xfrm>
                    <a:prstGeom prst="rect">
                      <a:avLst/>
                    </a:prstGeom>
                  </pic:spPr>
                </pic:pic>
              </a:graphicData>
            </a:graphic>
          </wp:inline>
        </w:drawing>
      </w: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ind w:firstLine="420"/>
        <w:rPr>
          <w:rFonts w:hint="default" w:ascii="Times New Roman" w:hAnsi="Times New Roman" w:eastAsia="宋体" w:cs="Times New Roman"/>
          <w:color w:val="FF0000"/>
          <w:sz w:val="24"/>
          <w:lang w:eastAsia="zh-CN"/>
        </w:rPr>
      </w:pPr>
    </w:p>
    <w:p>
      <w:pPr>
        <w:spacing w:line="360" w:lineRule="auto"/>
        <w:rPr>
          <w:rFonts w:hint="default" w:ascii="Times New Roman" w:hAnsi="Times New Roman" w:eastAsia="宋体" w:cs="Times New Roman"/>
          <w:color w:val="FF0000"/>
          <w:sz w:val="24"/>
          <w:lang w:eastAsia="zh-CN"/>
        </w:rPr>
      </w:pPr>
      <w:r>
        <w:rPr>
          <w:rFonts w:hint="default" w:ascii="Times New Roman" w:hAnsi="Times New Roman" w:eastAsia="宋体" w:cs="Times New Roman"/>
          <w:color w:val="FF0000"/>
          <w:sz w:val="24"/>
          <w:lang w:eastAsia="zh-CN"/>
        </w:rPr>
        <w:drawing>
          <wp:inline distT="0" distB="0" distL="114300" distR="114300">
            <wp:extent cx="5267960" cy="6014085"/>
            <wp:effectExtent l="0" t="0" r="8890" b="5715"/>
            <wp:docPr id="4" name="图片 4" descr="许昌市国有种植园地级别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许昌市国有种植园地级别图"/>
                    <pic:cNvPicPr>
                      <a:picLocks noChangeAspect="true"/>
                    </pic:cNvPicPr>
                  </pic:nvPicPr>
                  <pic:blipFill>
                    <a:blip r:embed="rId7"/>
                    <a:stretch>
                      <a:fillRect/>
                    </a:stretch>
                  </pic:blipFill>
                  <pic:spPr>
                    <a:xfrm>
                      <a:off x="0" y="0"/>
                      <a:ext cx="5267960" cy="6014085"/>
                    </a:xfrm>
                    <a:prstGeom prst="rect">
                      <a:avLst/>
                    </a:prstGeom>
                  </pic:spPr>
                </pic:pic>
              </a:graphicData>
            </a:graphic>
          </wp:inline>
        </w:drawing>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jNDliZmY1NmM4M2Y2N2RmMzQyM2U2OTM3Y2Q4YjEifQ=="/>
  </w:docVars>
  <w:rsids>
    <w:rsidRoot w:val="00B07BCA"/>
    <w:rsid w:val="00243928"/>
    <w:rsid w:val="009E55BE"/>
    <w:rsid w:val="00A63B61"/>
    <w:rsid w:val="00B07BCA"/>
    <w:rsid w:val="00E318AE"/>
    <w:rsid w:val="00E95CEC"/>
    <w:rsid w:val="00F0636F"/>
    <w:rsid w:val="72BD7606"/>
    <w:rsid w:val="7DB85A67"/>
    <w:rsid w:val="7EFF0BD1"/>
    <w:rsid w:val="7F9A2BB8"/>
    <w:rsid w:val="EFDE3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360" w:lineRule="auto"/>
      <w:outlineLvl w:val="0"/>
    </w:pPr>
    <w:rPr>
      <w:rFonts w:eastAsia="楷体_GB2312"/>
      <w:b/>
      <w:bCs/>
      <w:kern w:val="44"/>
      <w:sz w:val="36"/>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0"/>
    <w:rPr>
      <w:rFonts w:ascii="Times New Roman" w:hAnsi="Times New Roman" w:eastAsia="楷体_GB2312" w:cs="Times New Roman"/>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126</Words>
  <Characters>721</Characters>
  <Lines>6</Lines>
  <Paragraphs>1</Paragraphs>
  <TotalTime>0</TotalTime>
  <ScaleCrop>false</ScaleCrop>
  <LinksUpToDate>false</LinksUpToDate>
  <CharactersWithSpaces>846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2022-06-27T09:24:00Z</dcterms:created>
  <dc:creator>Microsoft</dc:creator>
  <cp:lastModifiedBy>huanghe</cp:lastModifiedBy>
  <cp:lastPrinted>2024-01-15T17:22:00Z</cp:lastPrinted>
  <dcterms:modified xsi:type="dcterms:W3CDTF">2024-01-15T14:43:24Z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ABD6591E0BB94356A1086DB2188EEC04_12</vt:lpwstr>
  </property>
</Properties>
</file>